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000000" w:themeColor="text1"/>
          <w:sz w:val="52"/>
          <w:szCs w:val="52"/>
          <w14:textFill>
            <w14:solidFill>
              <w14:schemeClr w14:val="tx1"/>
            </w14:solidFill>
          </w14:textFill>
        </w:rPr>
      </w:pPr>
    </w:p>
    <w:p>
      <w:pPr>
        <w:tabs>
          <w:tab w:val="left" w:pos="420"/>
        </w:tabs>
        <w:spacing w:line="1700" w:lineRule="exact"/>
        <w:jc w:val="center"/>
        <w:rPr>
          <w:rFonts w:ascii="宋体" w:hAnsi="宋体"/>
          <w:b/>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工程类标准</w:t>
      </w: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color w:val="000000" w:themeColor="text1"/>
          <w14:textFill>
            <w14:solidFill>
              <w14:schemeClr w14:val="tx1"/>
            </w14:solidFill>
          </w14:textFill>
        </w:rPr>
        <w:drawing>
          <wp:inline distT="0" distB="0" distL="114300" distR="114300">
            <wp:extent cx="1390650" cy="132397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1390650" cy="132397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ind w:firstLine="1084" w:firstLineChars="300"/>
        <w:rPr>
          <w:rFonts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项目名称：合肥国际人才公寓消防工程应急施工项目</w:t>
      </w:r>
    </w:p>
    <w:p>
      <w:pPr>
        <w:tabs>
          <w:tab w:val="left" w:pos="2410"/>
        </w:tabs>
        <w:autoSpaceDE w:val="0"/>
        <w:autoSpaceDN w:val="0"/>
        <w:adjustRightInd w:val="0"/>
        <w:snapToGrid w:val="0"/>
        <w:spacing w:line="360" w:lineRule="auto"/>
        <w:ind w:firstLine="1084" w:firstLineChars="300"/>
        <w:rPr>
          <w:rFonts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    号：2022WLBLZB00085号</w:t>
      </w:r>
    </w:p>
    <w:p>
      <w:pPr>
        <w:tabs>
          <w:tab w:val="left" w:pos="2410"/>
        </w:tabs>
        <w:autoSpaceDE w:val="0"/>
        <w:autoSpaceDN w:val="0"/>
        <w:adjustRightInd w:val="0"/>
        <w:snapToGrid w:val="0"/>
        <w:spacing w:line="360" w:lineRule="auto"/>
        <w:ind w:firstLine="1084" w:firstLineChars="300"/>
        <w:rPr>
          <w:rFonts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人：合肥文旅博览集团有限公司</w:t>
      </w:r>
    </w:p>
    <w:p>
      <w:pPr>
        <w:tabs>
          <w:tab w:val="left" w:pos="2410"/>
        </w:tabs>
        <w:autoSpaceDE w:val="0"/>
        <w:autoSpaceDN w:val="0"/>
        <w:adjustRightInd w:val="0"/>
        <w:snapToGrid w:val="0"/>
        <w:spacing w:line="360" w:lineRule="auto"/>
        <w:ind w:firstLine="1084" w:firstLineChars="300"/>
        <w:rPr>
          <w:rFonts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 xml:space="preserve">招标时间：2022年12月 </w:t>
      </w:r>
    </w:p>
    <w:p>
      <w:pPr>
        <w:spacing w:line="500" w:lineRule="exact"/>
        <w:rPr>
          <w:rFonts w:ascii="黑体" w:hAnsi="宋体" w:eastAsia="黑体"/>
          <w:b/>
          <w:color w:val="000000" w:themeColor="text1"/>
          <w:sz w:val="32"/>
          <w14:textFill>
            <w14:solidFill>
              <w14:schemeClr w14:val="tx1"/>
            </w14:solidFill>
          </w14:textFill>
        </w:rPr>
      </w:pPr>
    </w:p>
    <w:p>
      <w:pPr>
        <w:spacing w:after="360" w:afterLines="150" w:line="360" w:lineRule="auto"/>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pPr>
        <w:pStyle w:val="55"/>
        <w:rPr>
          <w:rFonts w:asciiTheme="minorHAnsi" w:hAnsiTheme="minorHAnsi" w:eastAsiaTheme="minorEastAsia" w:cstheme="minorBidi"/>
          <w:smallCaps w:val="0"/>
          <w:sz w:val="21"/>
          <w:szCs w:val="22"/>
        </w:rPr>
      </w:pPr>
      <w:r>
        <w:rPr>
          <w:rFonts w:eastAsia="黑体"/>
          <w:color w:val="000000" w:themeColor="text1"/>
          <w:sz w:val="24"/>
          <w14:textFill>
            <w14:solidFill>
              <w14:schemeClr w14:val="tx1"/>
            </w14:solidFill>
          </w14:textFill>
        </w:rPr>
        <w:fldChar w:fldCharType="begin"/>
      </w:r>
      <w:r>
        <w:rPr>
          <w:rFonts w:eastAsia="黑体"/>
          <w:color w:val="000000" w:themeColor="text1"/>
          <w:sz w:val="24"/>
          <w14:textFill>
            <w14:solidFill>
              <w14:schemeClr w14:val="tx1"/>
            </w14:solidFill>
          </w14:textFill>
        </w:rPr>
        <w:instrText xml:space="preserve"> TOC \o "1-2" \h \z \u </w:instrText>
      </w:r>
      <w:r>
        <w:rPr>
          <w:rFonts w:eastAsia="黑体"/>
          <w:color w:val="000000" w:themeColor="text1"/>
          <w:sz w:val="24"/>
          <w14:textFill>
            <w14:solidFill>
              <w14:schemeClr w14:val="tx1"/>
            </w14:solidFill>
          </w14:textFill>
        </w:rPr>
        <w:fldChar w:fldCharType="separate"/>
      </w:r>
      <w:r>
        <w:fldChar w:fldCharType="begin"/>
      </w:r>
      <w:r>
        <w:instrText xml:space="preserve"> HYPERLINK \l "_Toc122103676" </w:instrText>
      </w:r>
      <w:r>
        <w:fldChar w:fldCharType="separate"/>
      </w:r>
      <w:r>
        <w:rPr>
          <w:rStyle w:val="78"/>
          <w:rFonts w:ascii="宋体" w:hAnsi="宋体"/>
        </w:rPr>
        <w:t>第一章 投标邀请（招标公告）</w:t>
      </w:r>
      <w:r>
        <w:tab/>
      </w:r>
      <w:r>
        <w:fldChar w:fldCharType="begin"/>
      </w:r>
      <w:r>
        <w:instrText xml:space="preserve"> PAGEREF _Toc122103676 \h </w:instrText>
      </w:r>
      <w:r>
        <w:fldChar w:fldCharType="separate"/>
      </w:r>
      <w:r>
        <w:t>3</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"_Toc122103677" </w:instrText>
      </w:r>
      <w:r>
        <w:fldChar w:fldCharType="separate"/>
      </w:r>
      <w:r>
        <w:rPr>
          <w:rStyle w:val="78"/>
          <w:rFonts w:ascii="宋体" w:hAnsi="宋体"/>
        </w:rPr>
        <w:t>第二章 投标人须知前附表</w:t>
      </w:r>
      <w:r>
        <w:tab/>
      </w:r>
      <w:r>
        <w:fldChar w:fldCharType="begin"/>
      </w:r>
      <w:r>
        <w:instrText xml:space="preserve"> PAGEREF _Toc122103677 \h </w:instrText>
      </w:r>
      <w:r>
        <w:fldChar w:fldCharType="separate"/>
      </w:r>
      <w:r>
        <w:t>6</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"_Toc122103678" </w:instrText>
      </w:r>
      <w:r>
        <w:fldChar w:fldCharType="separate"/>
      </w:r>
      <w:r>
        <w:rPr>
          <w:rStyle w:val="78"/>
          <w:rFonts w:ascii="黑体" w:hAnsi="黑体" w:eastAsia="黑体"/>
          <w:bCs/>
        </w:rPr>
        <w:t>附录1  资格审查条件(资质最低条件)</w:t>
      </w:r>
      <w:r>
        <w:tab/>
      </w:r>
      <w:r>
        <w:fldChar w:fldCharType="begin"/>
      </w:r>
      <w:r>
        <w:instrText xml:space="preserve"> PAGEREF _Toc122103678 \h </w:instrText>
      </w:r>
      <w:r>
        <w:fldChar w:fldCharType="separate"/>
      </w:r>
      <w:r>
        <w:t>12</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"_Toc122103679" </w:instrText>
      </w:r>
      <w:r>
        <w:fldChar w:fldCharType="separate"/>
      </w:r>
      <w:r>
        <w:rPr>
          <w:rStyle w:val="78"/>
          <w:rFonts w:ascii="黑体" w:hAnsi="黑体" w:eastAsia="黑体"/>
          <w:bCs/>
        </w:rPr>
        <w:t>附录2  资格审查条件(财务最低要求)</w:t>
      </w:r>
      <w:r>
        <w:tab/>
      </w:r>
      <w:r>
        <w:fldChar w:fldCharType="begin"/>
      </w:r>
      <w:r>
        <w:instrText xml:space="preserve"> PAGEREF _Toc122103679 \h </w:instrText>
      </w:r>
      <w:r>
        <w:fldChar w:fldCharType="separate"/>
      </w:r>
      <w:r>
        <w:t>13</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"_Toc122103680" </w:instrText>
      </w:r>
      <w:r>
        <w:fldChar w:fldCharType="separate"/>
      </w:r>
      <w:r>
        <w:rPr>
          <w:rStyle w:val="78"/>
          <w:rFonts w:ascii="黑体" w:hAnsi="黑体" w:eastAsia="黑体"/>
          <w:bCs/>
        </w:rPr>
        <w:t>附录3  资格审查条件(业绩最低要求)</w:t>
      </w:r>
      <w:r>
        <w:tab/>
      </w:r>
      <w:r>
        <w:fldChar w:fldCharType="begin"/>
      </w:r>
      <w:r>
        <w:instrText xml:space="preserve"> PAGEREF _Toc122103680 \h </w:instrText>
      </w:r>
      <w:r>
        <w:fldChar w:fldCharType="separate"/>
      </w:r>
      <w:r>
        <w:t>14</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"_Toc122103681" </w:instrText>
      </w:r>
      <w:r>
        <w:fldChar w:fldCharType="separate"/>
      </w:r>
      <w:r>
        <w:rPr>
          <w:rStyle w:val="78"/>
          <w:rFonts w:ascii="黑体" w:hAnsi="黑体" w:eastAsia="黑体"/>
          <w:bCs/>
        </w:rPr>
        <w:t>附录4  资格审查条件(信誉最低要求)</w:t>
      </w:r>
      <w:r>
        <w:tab/>
      </w:r>
      <w:r>
        <w:fldChar w:fldCharType="begin"/>
      </w:r>
      <w:r>
        <w:instrText xml:space="preserve"> PAGEREF _Toc122103681 \h </w:instrText>
      </w:r>
      <w:r>
        <w:fldChar w:fldCharType="separate"/>
      </w:r>
      <w:r>
        <w:t>15</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"_Toc122103682" </w:instrText>
      </w:r>
      <w:r>
        <w:fldChar w:fldCharType="separate"/>
      </w:r>
      <w:r>
        <w:rPr>
          <w:rStyle w:val="78"/>
          <w:rFonts w:ascii="黑体" w:hAnsi="黑体" w:eastAsia="黑体"/>
          <w:bCs/>
        </w:rPr>
        <w:t>附录5  资格审查条件（项目经理最低要求）</w:t>
      </w:r>
      <w:r>
        <w:tab/>
      </w:r>
      <w:r>
        <w:fldChar w:fldCharType="begin"/>
      </w:r>
      <w:r>
        <w:instrText xml:space="preserve"> PAGEREF _Toc122103682 \h </w:instrText>
      </w:r>
      <w:r>
        <w:fldChar w:fldCharType="separate"/>
      </w:r>
      <w:r>
        <w:t>16</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"_Toc122103683" </w:instrText>
      </w:r>
      <w:r>
        <w:fldChar w:fldCharType="separate"/>
      </w:r>
      <w:r>
        <w:rPr>
          <w:rStyle w:val="78"/>
          <w:rFonts w:ascii="黑体" w:hAnsi="黑体" w:eastAsia="黑体"/>
          <w:bCs/>
        </w:rPr>
        <w:t>附录6  资格审查条件（其他管理人员和技术人员最低要求）</w:t>
      </w:r>
      <w:r>
        <w:tab/>
      </w:r>
      <w:r>
        <w:fldChar w:fldCharType="begin"/>
      </w:r>
      <w:r>
        <w:instrText xml:space="preserve"> PAGEREF _Toc122103683 \h </w:instrText>
      </w:r>
      <w:r>
        <w:fldChar w:fldCharType="separate"/>
      </w:r>
      <w:r>
        <w:t>17</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"_Toc122103684" </w:instrText>
      </w:r>
      <w:r>
        <w:fldChar w:fldCharType="separate"/>
      </w:r>
      <w:r>
        <w:rPr>
          <w:rStyle w:val="78"/>
          <w:rFonts w:ascii="宋体" w:hAnsi="宋体"/>
          <w:b/>
          <w:bCs/>
        </w:rPr>
        <w:t>第三章 投标人须知</w:t>
      </w:r>
      <w:r>
        <w:tab/>
      </w:r>
      <w:r>
        <w:fldChar w:fldCharType="begin"/>
      </w:r>
      <w:r>
        <w:instrText xml:space="preserve"> PAGEREF _Toc122103684 \h </w:instrText>
      </w:r>
      <w:r>
        <w:fldChar w:fldCharType="separate"/>
      </w:r>
      <w:r>
        <w:t>18</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"_Toc122103685" </w:instrText>
      </w:r>
      <w:r>
        <w:fldChar w:fldCharType="separate"/>
      </w:r>
      <w:r>
        <w:rPr>
          <w:rStyle w:val="78"/>
          <w:rFonts w:ascii="宋体" w:hAnsi="宋体"/>
        </w:rPr>
        <w:t>第四章  招标需求</w:t>
      </w:r>
      <w:r>
        <w:tab/>
      </w:r>
      <w:r>
        <w:fldChar w:fldCharType="begin"/>
      </w:r>
      <w:r>
        <w:instrText xml:space="preserve"> PAGEREF _Toc122103685 \h </w:instrText>
      </w:r>
      <w:r>
        <w:fldChar w:fldCharType="separate"/>
      </w:r>
      <w:r>
        <w:t>24</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"_Toc122103686" </w:instrText>
      </w:r>
      <w:r>
        <w:fldChar w:fldCharType="separate"/>
      </w:r>
      <w:r>
        <w:rPr>
          <w:rStyle w:val="78"/>
          <w:rFonts w:ascii="宋体" w:hAnsi="宋体"/>
        </w:rPr>
        <w:t>第五章  评标办法</w:t>
      </w:r>
      <w:r>
        <w:tab/>
      </w:r>
      <w:r>
        <w:fldChar w:fldCharType="begin"/>
      </w:r>
      <w:r>
        <w:instrText xml:space="preserve"> PAGEREF _Toc122103686 \h </w:instrText>
      </w:r>
      <w:r>
        <w:fldChar w:fldCharType="separate"/>
      </w:r>
      <w:r>
        <w:t>29</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"_Toc122103687" </w:instrText>
      </w:r>
      <w:r>
        <w:fldChar w:fldCharType="separate"/>
      </w:r>
      <w:r>
        <w:rPr>
          <w:rStyle w:val="78"/>
          <w:rFonts w:ascii="宋体" w:hAnsi="宋体"/>
        </w:rPr>
        <w:t>第六章  合同条款及格式</w:t>
      </w:r>
      <w:r>
        <w:tab/>
      </w:r>
      <w:r>
        <w:fldChar w:fldCharType="begin"/>
      </w:r>
      <w:r>
        <w:instrText xml:space="preserve"> PAGEREF _Toc122103687 \h </w:instrText>
      </w:r>
      <w:r>
        <w:fldChar w:fldCharType="separate"/>
      </w:r>
      <w:r>
        <w:t>36</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"_Toc122103688" </w:instrText>
      </w:r>
      <w:r>
        <w:fldChar w:fldCharType="separate"/>
      </w:r>
      <w:r>
        <w:rPr>
          <w:rStyle w:val="78"/>
          <w:rFonts w:ascii="宋体" w:hAnsi="宋体"/>
          <w:b/>
          <w:bCs/>
        </w:rPr>
        <w:t>第七章 投标文件格式</w:t>
      </w:r>
      <w:r>
        <w:tab/>
      </w:r>
      <w:r>
        <w:fldChar w:fldCharType="begin"/>
      </w:r>
      <w:r>
        <w:instrText xml:space="preserve"> PAGEREF _Toc122103688 \h </w:instrText>
      </w:r>
      <w:r>
        <w:fldChar w:fldCharType="separate"/>
      </w:r>
      <w:r>
        <w:t>67</w:t>
      </w:r>
      <w:r>
        <w:fldChar w:fldCharType="end"/>
      </w:r>
      <w:r>
        <w:fldChar w:fldCharType="end"/>
      </w:r>
    </w:p>
    <w:p>
      <w:pPr>
        <w:pStyle w:val="55"/>
        <w:rPr>
          <w:rFonts w:asciiTheme="minorHAnsi" w:hAnsiTheme="minorHAnsi" w:eastAsiaTheme="minorEastAsia" w:cstheme="minorBidi"/>
          <w:smallCaps w:val="0"/>
          <w:sz w:val="21"/>
          <w:szCs w:val="22"/>
        </w:rPr>
      </w:pPr>
      <w:r>
        <w:fldChar w:fldCharType="begin"/>
      </w:r>
      <w:r>
        <w:instrText xml:space="preserve"> HYPERLINK \l "_Toc122103689" </w:instrText>
      </w:r>
      <w:r>
        <w:fldChar w:fldCharType="separate"/>
      </w:r>
      <w:r>
        <w:rPr>
          <w:rStyle w:val="78"/>
          <w:rFonts w:ascii="Arial" w:hAnsi="Arial" w:cs="Calibri"/>
          <w:b/>
          <w:bCs/>
        </w:rPr>
        <w:t>评审因素索引表</w:t>
      </w:r>
      <w:r>
        <w:tab/>
      </w:r>
      <w:r>
        <w:fldChar w:fldCharType="begin"/>
      </w:r>
      <w:r>
        <w:instrText xml:space="preserve"> PAGEREF _Toc122103689 \h </w:instrText>
      </w:r>
      <w:r>
        <w:fldChar w:fldCharType="separate"/>
      </w:r>
      <w:r>
        <w:t>67</w:t>
      </w:r>
      <w:r>
        <w:fldChar w:fldCharType="end"/>
      </w:r>
      <w:r>
        <w:fldChar w:fldCharType="end"/>
      </w:r>
    </w:p>
    <w:p>
      <w:pPr>
        <w:spacing w:line="360" w:lineRule="auto"/>
        <w:jc w:val="center"/>
        <w:rPr>
          <w:rFonts w:ascii="黑体" w:hAnsi="宋体" w:eastAsia="黑体"/>
          <w:b/>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fldChar w:fldCharType="end"/>
      </w:r>
      <w:bookmarkStart w:id="0" w:name="_Toc40792200"/>
    </w:p>
    <w:p>
      <w:pPr>
        <w:spacing w:line="360" w:lineRule="auto"/>
        <w:jc w:val="center"/>
        <w:rPr>
          <w:rFonts w:ascii="黑体" w:hAnsi="宋体" w:eastAsia="黑体"/>
          <w:b/>
          <w:color w:val="000000" w:themeColor="text1"/>
          <w:sz w:val="24"/>
          <w:szCs w:val="24"/>
          <w14:textFill>
            <w14:solidFill>
              <w14:schemeClr w14:val="tx1"/>
            </w14:solidFill>
          </w14:textFill>
        </w:rPr>
      </w:pPr>
    </w:p>
    <w:p>
      <w:pPr>
        <w:spacing w:line="360" w:lineRule="auto"/>
        <w:jc w:val="center"/>
        <w:rPr>
          <w:rFonts w:ascii="黑体" w:hAnsi="宋体" w:eastAsia="黑体"/>
          <w:b/>
          <w:color w:val="000000" w:themeColor="text1"/>
          <w:sz w:val="24"/>
          <w:szCs w:val="24"/>
          <w14:textFill>
            <w14:solidFill>
              <w14:schemeClr w14:val="tx1"/>
            </w14:solidFill>
          </w14:textFill>
        </w:rPr>
      </w:pPr>
    </w:p>
    <w:p>
      <w:pPr>
        <w:spacing w:line="360" w:lineRule="auto"/>
        <w:jc w:val="center"/>
        <w:rPr>
          <w:rFonts w:ascii="黑体" w:hAnsi="宋体" w:eastAsia="黑体"/>
          <w:b/>
          <w:color w:val="000000" w:themeColor="text1"/>
          <w:sz w:val="24"/>
          <w:szCs w:val="24"/>
          <w14:textFill>
            <w14:solidFill>
              <w14:schemeClr w14:val="tx1"/>
            </w14:solidFill>
          </w14:textFill>
        </w:rPr>
      </w:pPr>
    </w:p>
    <w:p>
      <w:pPr>
        <w:spacing w:line="360" w:lineRule="auto"/>
        <w:jc w:val="center"/>
        <w:rPr>
          <w:rFonts w:ascii="黑体" w:hAnsi="宋体" w:eastAsia="黑体"/>
          <w:b/>
          <w:color w:val="000000" w:themeColor="text1"/>
          <w:sz w:val="24"/>
          <w:szCs w:val="24"/>
          <w14:textFill>
            <w14:solidFill>
              <w14:schemeClr w14:val="tx1"/>
            </w14:solidFill>
          </w14:textFill>
        </w:rPr>
      </w:pPr>
    </w:p>
    <w:p>
      <w:pPr>
        <w:spacing w:line="360" w:lineRule="auto"/>
        <w:jc w:val="center"/>
        <w:rPr>
          <w:rFonts w:ascii="黑体" w:hAnsi="宋体" w:eastAsia="黑体"/>
          <w:b/>
          <w:color w:val="000000" w:themeColor="text1"/>
          <w:sz w:val="24"/>
          <w:szCs w:val="24"/>
          <w14:textFill>
            <w14:solidFill>
              <w14:schemeClr w14:val="tx1"/>
            </w14:solidFill>
          </w14:textFill>
        </w:rPr>
      </w:pPr>
    </w:p>
    <w:p>
      <w:pPr>
        <w:spacing w:line="360" w:lineRule="auto"/>
        <w:jc w:val="center"/>
        <w:rPr>
          <w:rFonts w:ascii="黑体" w:hAnsi="宋体" w:eastAsia="黑体"/>
          <w:b/>
          <w:color w:val="000000" w:themeColor="text1"/>
          <w:sz w:val="24"/>
          <w:szCs w:val="24"/>
          <w14:textFill>
            <w14:solidFill>
              <w14:schemeClr w14:val="tx1"/>
            </w14:solidFill>
          </w14:textFill>
        </w:rPr>
      </w:pPr>
    </w:p>
    <w:bookmarkEnd w:id="0"/>
    <w:p>
      <w:pPr>
        <w:rPr>
          <w:color w:val="000000" w:themeColor="text1"/>
          <w14:textFill>
            <w14:solidFill>
              <w14:schemeClr w14:val="tx1"/>
            </w14:solidFill>
          </w14:textFill>
        </w:rPr>
      </w:pPr>
      <w:bookmarkStart w:id="1" w:name="_Hlt510343011"/>
      <w:bookmarkStart w:id="2" w:name="_Hlt510342998"/>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pPr>
        <w:pStyle w:val="4"/>
        <w:spacing w:before="0" w:line="500" w:lineRule="exact"/>
        <w:ind w:firstLine="0"/>
        <w:rPr>
          <w:rFonts w:ascii="宋体" w:hAnsi="宋体" w:eastAsia="宋体"/>
          <w:color w:val="000000" w:themeColor="text1"/>
          <w14:textFill>
            <w14:solidFill>
              <w14:schemeClr w14:val="tx1"/>
            </w14:solidFill>
          </w14:textFill>
        </w:rPr>
      </w:pPr>
      <w:bookmarkStart w:id="3" w:name="_Toc122103676"/>
      <w:r>
        <w:rPr>
          <w:rFonts w:hint="eastAsia" w:ascii="宋体" w:hAnsi="宋体" w:eastAsia="宋体"/>
          <w:color w:val="000000" w:themeColor="text1"/>
          <w14:textFill>
            <w14:solidFill>
              <w14:schemeClr w14:val="tx1"/>
            </w14:solidFill>
          </w14:textFill>
        </w:rPr>
        <w:t>第一章 投标邀请（招标公告）</w:t>
      </w:r>
      <w:bookmarkEnd w:id="3"/>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合肥文旅博览集团有限公司（以下简称：文旅博览集团）现对</w:t>
      </w:r>
      <w:r>
        <w:rPr>
          <w:rFonts w:hint="eastAsia" w:ascii="宋体" w:hAnsi="DotumChe" w:cs="宋体"/>
          <w:color w:val="000000" w:themeColor="text1"/>
          <w:spacing w:val="20"/>
          <w:kern w:val="0"/>
          <w:sz w:val="24"/>
          <w:szCs w:val="24"/>
          <w14:textFill>
            <w14:solidFill>
              <w14:schemeClr w14:val="tx1"/>
            </w14:solidFill>
          </w14:textFill>
        </w:rPr>
        <w:t>合肥国际人才公寓消防工程应急施工项目（以下简称：本项目）</w:t>
      </w:r>
      <w:r>
        <w:rPr>
          <w:rFonts w:hint="eastAsia" w:ascii="宋体" w:hAnsi="宋体"/>
          <w:color w:val="000000" w:themeColor="text1"/>
          <w:sz w:val="24"/>
          <w:szCs w:val="24"/>
          <w14:textFill>
            <w14:solidFill>
              <w14:schemeClr w14:val="tx1"/>
            </w14:solidFill>
          </w14:textFill>
        </w:rPr>
        <w:t>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1.项目编号：2022WLBLZB00085号</w:t>
      </w:r>
    </w:p>
    <w:p>
      <w:pPr>
        <w:autoSpaceDE w:val="0"/>
        <w:autoSpaceDN w:val="0"/>
        <w:adjustRightInd w:val="0"/>
        <w:spacing w:line="360" w:lineRule="auto"/>
        <w:ind w:firstLine="200"/>
        <w:jc w:val="left"/>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2.项目名称：合肥国际人才公寓消防工程应急施工项目</w:t>
      </w:r>
    </w:p>
    <w:p>
      <w:pPr>
        <w:autoSpaceDE w:val="0"/>
        <w:autoSpaceDN w:val="0"/>
        <w:adjustRightInd w:val="0"/>
        <w:spacing w:line="360" w:lineRule="auto"/>
        <w:ind w:firstLine="200"/>
        <w:jc w:val="left"/>
        <w:rPr>
          <w:bCs/>
          <w:color w:val="000000" w:themeColor="text1"/>
          <w:sz w:val="24"/>
          <w:szCs w:val="18"/>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3.项目单位：</w:t>
      </w:r>
      <w:r>
        <w:rPr>
          <w:rFonts w:hint="eastAsia"/>
          <w:bCs/>
          <w:color w:val="000000" w:themeColor="text1"/>
          <w:sz w:val="24"/>
          <w:szCs w:val="18"/>
          <w14:textFill>
            <w14:solidFill>
              <w14:schemeClr w14:val="tx1"/>
            </w14:solidFill>
          </w14:textFill>
        </w:rPr>
        <w:t>合肥文旅博览集团有限公司</w:t>
      </w:r>
    </w:p>
    <w:p>
      <w:pPr>
        <w:autoSpaceDE w:val="0"/>
        <w:autoSpaceDN w:val="0"/>
        <w:adjustRightInd w:val="0"/>
        <w:spacing w:line="360" w:lineRule="auto"/>
        <w:ind w:firstLine="200"/>
        <w:jc w:val="left"/>
        <w:rPr>
          <w:rFonts w:ascii="宋体" w:hAnsi="宋体"/>
          <w:color w:val="000000" w:themeColor="text1"/>
          <w:sz w:val="24"/>
          <w:szCs w:val="24"/>
          <w:highlight w:val="yellow"/>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4.项目内容及招标范围：合肥国际人才公寓项目位于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合肥市蜀山区汤池路与茗香路交口</w:t>
      </w:r>
      <w:r>
        <w:rPr>
          <w:rFonts w:hint="eastAsia" w:ascii="宋体" w:hAnsi="宋体"/>
          <w:color w:val="000000" w:themeColor="text1"/>
          <w:sz w:val="24"/>
          <w:szCs w:val="24"/>
          <w14:textFill>
            <w14:solidFill>
              <w14:schemeClr w14:val="tx1"/>
            </w14:solidFill>
          </w14:textFill>
        </w:rPr>
        <w:t>，占地面积约7万平米，建筑面积约25万平米，项目由A、B、C三个地块组成，其中C地块为3栋17层住宅楼及地下2层车库组成；A地块由12栋17层至26层住宅楼、一栋5层邻里中心、一栋18层酒店式公寓组成；B地块由2栋18层青年公寓、一座一层菜市场、一栋6班幼儿园组成。本次招标内容包括但不限于：负责完成C地块消防工程剩余工作及A地块配套消防工程的施工；负责梳理提交完成C地块消防验收备案所需的消防工程量清单，并报招标人审核同意后实施；负责完成C地块消防验收备案等相关工作，具体工作内容由招标人确定，并以招标人下发的任务单为准。</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5.资金来源：自筹。</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6.项目概算：350万元。</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7.项目地点：具体工作内容以招标人下发的任务单为准。</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8.项目类型：工程类。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 投标人资质要求：投标人须同时具备：</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（1）具有独立承担民事责任的能力；</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（2）具有安全生产许可证；</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（3）具有消防设施工程专业承包贰级及以上资质；</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（4）具有建筑机电安装工程专业承包叁级及以上资质。</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 投标人业绩要求：投标人自2019年1月1日以来（以验收时间为准），具有单个合同项目不少于240万元的建筑消防工程（不含厂房）施工业绩；</w:t>
      </w:r>
    </w:p>
    <w:p>
      <w:pPr>
        <w:autoSpaceDE w:val="0"/>
        <w:autoSpaceDN w:val="0"/>
        <w:adjustRightInd w:val="0"/>
        <w:spacing w:line="360" w:lineRule="auto"/>
        <w:ind w:left="248" w:leftChars="114" w:hanging="9" w:hangingChars="4"/>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 项目负责人资格要求：投标人拟委任项目经理（项目负责人）须同时满足以下要求：</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18"/>
          <w14:textFill>
            <w14:solidFill>
              <w14:schemeClr w14:val="tx1"/>
            </w14:solidFill>
          </w14:textFill>
        </w:rPr>
        <w:t>具备机电工程专业贰级及以上注册建造师资格；</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（2）具备有效的安全生产考核合格证书（B类）；</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（3）目前未在其他项目上任职或虽在其他项目上任职但本项目中标后能够从该项目撤离。</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w:t>
      </w:r>
      <w:r>
        <w:rPr>
          <w:rFonts w:ascii="宋体" w:hAnsi="宋体"/>
          <w:color w:val="000000" w:themeColor="text1"/>
          <w:sz w:val="24"/>
          <w:szCs w:val="18"/>
          <w14:textFill>
            <w14:solidFill>
              <w14:schemeClr w14:val="tx1"/>
            </w14:solidFill>
          </w14:textFill>
        </w:rPr>
        <w:t>3</w:t>
      </w:r>
      <w:r>
        <w:rPr>
          <w:rFonts w:hint="eastAsia" w:ascii="宋体" w:hAnsi="宋体"/>
          <w:color w:val="000000" w:themeColor="text1"/>
          <w:sz w:val="24"/>
          <w:szCs w:val="18"/>
          <w14:textFill>
            <w14:solidFill>
              <w14:schemeClr w14:val="tx1"/>
            </w14:solidFill>
          </w14:textFill>
        </w:rPr>
        <w:t xml:space="preserve"> 项目负责人业绩要求：</w:t>
      </w:r>
      <w:r>
        <w:rPr>
          <w:rFonts w:hint="eastAsia" w:ascii="宋体" w:hAnsi="宋体"/>
          <w:color w:val="000000" w:themeColor="text1"/>
          <w:sz w:val="24"/>
          <w:szCs w:val="24"/>
          <w14:textFill>
            <w14:solidFill>
              <w14:schemeClr w14:val="tx1"/>
            </w14:solidFill>
          </w14:textFill>
        </w:rPr>
        <w:t>投标人拟委任项目经理（项目负责人）自</w:t>
      </w:r>
      <w:r>
        <w:rPr>
          <w:rFonts w:hint="eastAsia" w:ascii="宋体" w:hAnsi="宋体"/>
          <w:color w:val="000000" w:themeColor="text1"/>
          <w:sz w:val="24"/>
          <w:szCs w:val="18"/>
          <w14:textFill>
            <w14:solidFill>
              <w14:schemeClr w14:val="tx1"/>
            </w14:solidFill>
          </w14:textFill>
        </w:rPr>
        <w:t>2019年1月1日以来（以验收时间为准），具有单个合同项目不少于240万元的建筑消防工程（不含厂房）施工业绩。（须在业绩证明材料中反映出担任项目负责人或者项目经理）。</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7.本项目不接受联合体投标；</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8.符合下列情形之一：</w:t>
      </w:r>
    </w:p>
    <w:p>
      <w:pPr>
        <w:autoSpaceDE w:val="0"/>
        <w:autoSpaceDN w:val="0"/>
        <w:adjustRightInd w:val="0"/>
        <w:spacing w:line="360" w:lineRule="auto"/>
        <w:ind w:firstLine="240" w:firstLineChars="1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40" w:firstLineChars="1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ascii="宋体" w:hAnsi="宋体"/>
          <w:color w:val="000000" w:themeColor="text1"/>
          <w:sz w:val="24"/>
          <w:szCs w:val="18"/>
          <w14:textFill>
            <w14:solidFill>
              <w14:schemeClr w14:val="tx1"/>
            </w14:solidFill>
          </w14:textFill>
        </w:rPr>
        <w:t>7</w:t>
      </w:r>
      <w:r>
        <w:rPr>
          <w:rFonts w:hint="eastAsia" w:ascii="宋体" w:hAnsi="宋体"/>
          <w:color w:val="000000" w:themeColor="text1"/>
          <w:sz w:val="24"/>
          <w:szCs w:val="18"/>
          <w14:textFill>
            <w14:solidFill>
              <w14:schemeClr w14:val="tx1"/>
            </w14:solidFill>
          </w14:textFill>
        </w:rPr>
        <w:t>.投标人存在以下不良信用记录情形之一的，不得推荐为中标候选人，不得确定为中标人：</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360" w:lineRule="auto"/>
        <w:ind w:firstLine="240" w:firstLineChars="100"/>
        <w:jc w:val="left"/>
        <w:rPr>
          <w:rFonts w:ascii="宋体" w:hAnsi="宋体"/>
          <w:color w:val="000000" w:themeColor="text1"/>
          <w:sz w:val="24"/>
          <w:szCs w:val="18"/>
          <w:highlight w:val="none"/>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w:t>
      </w:r>
      <w:r>
        <w:rPr>
          <w:rFonts w:hint="eastAsia" w:ascii="宋体" w:hAnsi="宋体"/>
          <w:color w:val="000000" w:themeColor="text1"/>
          <w:sz w:val="24"/>
          <w:szCs w:val="18"/>
          <w:highlight w:val="none"/>
          <w14:textFill>
            <w14:solidFill>
              <w14:schemeClr w14:val="tx1"/>
            </w14:solidFill>
          </w14:textFill>
        </w:rPr>
        <w:t>工商行政管理部门列入企业经营异常名录的；</w:t>
      </w:r>
    </w:p>
    <w:p>
      <w:pPr>
        <w:autoSpaceDE w:val="0"/>
        <w:autoSpaceDN w:val="0"/>
        <w:adjustRightInd w:val="0"/>
        <w:spacing w:line="360" w:lineRule="auto"/>
        <w:ind w:firstLine="240" w:firstLineChars="100"/>
        <w:jc w:val="left"/>
        <w:rPr>
          <w:rFonts w:ascii="宋体" w:hAnsi="宋体"/>
          <w:color w:val="000000" w:themeColor="text1"/>
          <w:sz w:val="24"/>
          <w:szCs w:val="18"/>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三、投标报名</w:t>
      </w:r>
    </w:p>
    <w:p>
      <w:pPr>
        <w:autoSpaceDE w:val="0"/>
        <w:autoSpaceDN w:val="0"/>
        <w:adjustRightInd w:val="0"/>
        <w:spacing w:line="360" w:lineRule="auto"/>
        <w:ind w:firstLine="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报名日期：2022年12月</w:t>
      </w:r>
      <w:r>
        <w:rPr>
          <w:rFonts w:hint="eastAsia" w:ascii="宋体" w:hAnsi="宋体" w:cs="宋体"/>
          <w:color w:val="000000" w:themeColor="text1"/>
          <w:kern w:val="0"/>
          <w:sz w:val="24"/>
          <w:szCs w:val="24"/>
          <w:highlight w:val="none"/>
          <w:lang w:eastAsia="zh-CN"/>
          <w14:textFill>
            <w14:solidFill>
              <w14:schemeClr w14:val="tx1"/>
            </w14:solidFill>
          </w14:textFill>
        </w:rPr>
        <w:t>20日至</w:t>
      </w:r>
      <w:r>
        <w:rPr>
          <w:rFonts w:hint="eastAsia" w:ascii="宋体" w:hAnsi="宋体" w:cs="宋体"/>
          <w:color w:val="000000" w:themeColor="text1"/>
          <w:kern w:val="0"/>
          <w:sz w:val="24"/>
          <w:szCs w:val="24"/>
          <w:highlight w:val="none"/>
          <w14:textFill>
            <w14:solidFill>
              <w14:schemeClr w14:val="tx1"/>
            </w14:solidFill>
          </w14:textFill>
        </w:rPr>
        <w:t>2022年12月</w:t>
      </w:r>
      <w:bookmarkStart w:id="207" w:name="_GoBack"/>
      <w:bookmarkEnd w:id="207"/>
      <w:r>
        <w:rPr>
          <w:rFonts w:hint="eastAsia" w:ascii="宋体" w:hAnsi="宋体" w:cs="宋体"/>
          <w:color w:val="000000" w:themeColor="text1"/>
          <w:kern w:val="0"/>
          <w:sz w:val="24"/>
          <w:szCs w:val="24"/>
          <w:highlight w:val="none"/>
          <w:lang w:val="en-US" w:eastAsia="zh-CN"/>
          <w14:textFill>
            <w14:solidFill>
              <w14:schemeClr w14:val="tx1"/>
            </w14:solidFill>
          </w14:textFill>
        </w:rPr>
        <w:t>26日</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2.领取方法：登录合肥文旅博览集团有限公司网站</w:t>
      </w:r>
      <w:r>
        <w:rPr>
          <w:rFonts w:ascii="宋体" w:hAnsi="宋体" w:cs="宋体"/>
          <w:color w:val="000000" w:themeColor="text1"/>
          <w:kern w:val="0"/>
          <w:sz w:val="24"/>
          <w:szCs w:val="24"/>
          <w:highlight w:val="none"/>
          <w14:textFill>
            <w14:solidFill>
              <w14:schemeClr w14:val="tx1"/>
            </w14:solidFill>
          </w14:textFill>
        </w:rPr>
        <w:t>http://www.zwzcgl.com</w:t>
      </w:r>
      <w:r>
        <w:rPr>
          <w:rFonts w:hint="eastAsia" w:ascii="宋体" w:hAnsi="宋体" w:cs="宋体"/>
          <w:color w:val="000000" w:themeColor="text1"/>
          <w:kern w:val="0"/>
          <w:sz w:val="24"/>
          <w:szCs w:val="24"/>
          <w:highlight w:val="none"/>
          <w14:textFill>
            <w14:solidFill>
              <w14:schemeClr w14:val="tx1"/>
            </w14:solidFill>
          </w14:textFill>
        </w:rPr>
        <w:t>下载标书</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3.报名方法：下载附件《××单位投××项目报名信息表》并完整填写信息后在规定的报名日期内发送至邮箱：</w:t>
      </w:r>
      <w:r>
        <w:rPr>
          <w:highlight w:val="none"/>
        </w:rPr>
        <w:fldChar w:fldCharType="begin"/>
      </w:r>
      <w:r>
        <w:rPr>
          <w:highlight w:val="none"/>
        </w:rPr>
        <w:instrText xml:space="preserve"> HYPERLINK "mailto:120156961@qq.com" </w:instrText>
      </w:r>
      <w:r>
        <w:rPr>
          <w:highlight w:val="none"/>
        </w:rPr>
        <w:fldChar w:fldCharType="separate"/>
      </w:r>
      <w:r>
        <w:rPr>
          <w:rFonts w:hint="eastAsia" w:cs="宋体"/>
          <w:color w:val="000000" w:themeColor="text1"/>
          <w:kern w:val="0"/>
          <w:sz w:val="24"/>
          <w:szCs w:val="24"/>
          <w:highlight w:val="none"/>
          <w14:textFill>
            <w14:solidFill>
              <w14:schemeClr w14:val="tx1"/>
            </w14:solidFill>
          </w14:textFill>
        </w:rPr>
        <w:t>120156961@qq.com</w:t>
      </w:r>
      <w:r>
        <w:rPr>
          <w:rFonts w:hint="eastAsia" w:cs="宋体"/>
          <w:color w:val="000000" w:themeColor="text1"/>
          <w:kern w:val="0"/>
          <w:sz w:val="24"/>
          <w:szCs w:val="24"/>
          <w:highlight w:val="none"/>
          <w14:textFill>
            <w14:solidFill>
              <w14:schemeClr w14:val="tx1"/>
            </w14:solidFill>
          </w14:textFill>
        </w:rPr>
        <w:fldChar w:fldCharType="end"/>
      </w:r>
      <w:r>
        <w:rPr>
          <w:rFonts w:hint="eastAsia" w:ascii="宋体" w:hAnsi="宋体" w:cs="宋体"/>
          <w:color w:val="000000" w:themeColor="text1"/>
          <w:kern w:val="0"/>
          <w:sz w:val="24"/>
          <w:szCs w:val="24"/>
          <w:highlight w:val="none"/>
          <w14:textFill>
            <w14:solidFill>
              <w14:schemeClr w14:val="tx1"/>
            </w14:solidFill>
          </w14:textFill>
        </w:rPr>
        <w:t xml:space="preserve">   </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四、投标保证金</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投标保证金缴纳详见第二章投标人须知前附表</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五、开标时间及地点</w:t>
      </w:r>
    </w:p>
    <w:p>
      <w:pPr>
        <w:autoSpaceDE w:val="0"/>
        <w:autoSpaceDN w:val="0"/>
        <w:adjustRightInd w:val="0"/>
        <w:spacing w:line="360" w:lineRule="auto"/>
        <w:ind w:firstLine="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1.开标时间：2022年12月</w:t>
      </w:r>
      <w:r>
        <w:rPr>
          <w:rFonts w:hint="eastAsia" w:ascii="宋体" w:hAnsi="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cs="宋体"/>
          <w:color w:val="000000" w:themeColor="text1"/>
          <w:kern w:val="0"/>
          <w:sz w:val="24"/>
          <w:szCs w:val="24"/>
          <w:highlight w:val="none"/>
          <w:lang w:eastAsia="zh-CN"/>
          <w14:textFill>
            <w14:solidFill>
              <w14:schemeClr w14:val="tx1"/>
            </w14:solidFill>
          </w14:textFill>
        </w:rPr>
        <w:t>日</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2.开标地点：合肥市蜀山区习友路与茂荫路交口西北角投资大厦3楼多功能厅</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六、投标截止时间</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2022年12月</w:t>
      </w:r>
      <w:r>
        <w:rPr>
          <w:rFonts w:hint="eastAsia" w:ascii="宋体" w:hAnsi="宋体" w:cs="宋体"/>
          <w:color w:val="000000" w:themeColor="text1"/>
          <w:kern w:val="0"/>
          <w:sz w:val="24"/>
          <w:szCs w:val="24"/>
          <w:highlight w:val="none"/>
          <w:lang w:val="en-US" w:eastAsia="zh-CN"/>
          <w14:textFill>
            <w14:solidFill>
              <w14:schemeClr w14:val="tx1"/>
            </w14:solidFill>
          </w14:textFill>
        </w:rPr>
        <w:t>30日</w:t>
      </w:r>
      <w:r>
        <w:rPr>
          <w:rFonts w:ascii="宋体" w:hAnsi="宋体" w:cs="宋体"/>
          <w:color w:val="000000" w:themeColor="text1"/>
          <w:kern w:val="0"/>
          <w:sz w:val="24"/>
          <w:szCs w:val="24"/>
          <w:highlight w:val="none"/>
          <w14:textFill>
            <w14:solidFill>
              <w14:schemeClr w14:val="tx1"/>
            </w14:solidFill>
          </w14:textFill>
        </w:rPr>
        <w:t xml:space="preserve">  </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七、联系方法</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招 标 人：合肥文旅博览集团有限公司</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    址：合肥市蜀山区习友路与茂荫路交口西北角投资大厦</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 系 人：胡工   电话：0551-63530687</w:t>
      </w:r>
    </w:p>
    <w:p>
      <w:pPr>
        <w:pStyle w:val="4"/>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4" w:name="_Toc40792201"/>
      <w:bookmarkStart w:id="5" w:name="_Toc122103677"/>
      <w:r>
        <w:rPr>
          <w:rFonts w:hint="eastAsia" w:ascii="宋体" w:hAnsi="宋体" w:eastAsia="宋体"/>
          <w:color w:val="000000" w:themeColor="text1"/>
          <w14:textFill>
            <w14:solidFill>
              <w14:schemeClr w14:val="tx1"/>
            </w14:solidFill>
          </w14:textFill>
        </w:rPr>
        <w:t>第二章 投标人须</w:t>
      </w:r>
      <w:bookmarkEnd w:id="1"/>
      <w:r>
        <w:rPr>
          <w:rFonts w:hint="eastAsia" w:ascii="宋体" w:hAnsi="宋体" w:eastAsia="宋体"/>
          <w:color w:val="000000" w:themeColor="text1"/>
          <w14:textFill>
            <w14:solidFill>
              <w14:schemeClr w14:val="tx1"/>
            </w14:solidFill>
          </w14:textFill>
        </w:rPr>
        <w:t>知</w:t>
      </w:r>
      <w:bookmarkEnd w:id="2"/>
      <w:r>
        <w:rPr>
          <w:rFonts w:hint="eastAsia" w:ascii="宋体" w:hAnsi="宋体" w:eastAsia="宋体"/>
          <w:color w:val="000000" w:themeColor="text1"/>
          <w14:textFill>
            <w14:solidFill>
              <w14:schemeClr w14:val="tx1"/>
            </w14:solidFill>
          </w14:textFill>
        </w:rPr>
        <w:t>前附表</w:t>
      </w:r>
      <w:bookmarkEnd w:id="4"/>
      <w:bookmarkEnd w:id="5"/>
    </w:p>
    <w:tbl>
      <w:tblPr>
        <w:tblStyle w:val="67"/>
        <w:tblW w:w="9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672"/>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3" w:type="dxa"/>
            <w:vAlign w:val="center"/>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1672" w:type="dxa"/>
            <w:vAlign w:val="center"/>
          </w:tcPr>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内容</w:t>
            </w:r>
          </w:p>
        </w:tc>
        <w:tc>
          <w:tcPr>
            <w:tcW w:w="7048" w:type="dxa"/>
            <w:vAlign w:val="center"/>
          </w:tcPr>
          <w:p>
            <w:pPr>
              <w:pStyle w:val="92"/>
              <w:widowControl w:val="0"/>
              <w:spacing w:before="0" w:beforeAutospacing="0" w:after="0" w:afterAutospacing="0"/>
              <w:rPr>
                <w:bCs w:val="0"/>
                <w:color w:val="000000" w:themeColor="text1"/>
                <w:kern w:val="2"/>
                <w:sz w:val="24"/>
                <w:szCs w:val="24"/>
                <w14:textFill>
                  <w14:solidFill>
                    <w14:schemeClr w14:val="tx1"/>
                  </w14:solidFill>
                </w14:textFill>
              </w:rPr>
            </w:pPr>
            <w:r>
              <w:rPr>
                <w:rFonts w:hint="eastAsia"/>
                <w:bCs w:val="0"/>
                <w:color w:val="000000" w:themeColor="text1"/>
                <w:kern w:val="2"/>
                <w:sz w:val="24"/>
                <w:szCs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903" w:type="dxa"/>
            <w:vAlign w:val="center"/>
          </w:tcPr>
          <w:p>
            <w:pPr>
              <w:pStyle w:val="108"/>
              <w:pBdr>
                <w:bottom w:val="none" w:color="auto" w:sz="0" w:space="0"/>
              </w:pBdr>
              <w:tabs>
                <w:tab w:val="clear" w:pos="4153"/>
                <w:tab w:val="clear" w:pos="8306"/>
              </w:tabs>
              <w:adjustRightInd/>
              <w:spacing w:line="240" w:lineRule="auto"/>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1</w:t>
            </w:r>
          </w:p>
        </w:tc>
        <w:tc>
          <w:tcPr>
            <w:tcW w:w="1672" w:type="dxa"/>
            <w:vAlign w:val="center"/>
          </w:tcPr>
          <w:p>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招标人</w:t>
            </w:r>
          </w:p>
        </w:tc>
        <w:tc>
          <w:tcPr>
            <w:tcW w:w="7048" w:type="dxa"/>
            <w:vAlign w:val="center"/>
          </w:tcPr>
          <w:p>
            <w:pPr>
              <w:pStyle w:val="92"/>
              <w:widowControl w:val="0"/>
              <w:spacing w:before="0" w:beforeAutospacing="0" w:after="0" w:afterAutospacing="0"/>
              <w:jc w:val="both"/>
              <w:rPr>
                <w:b w:val="0"/>
                <w:color w:val="000000" w:themeColor="text1"/>
                <w:kern w:val="2"/>
                <w:sz w:val="24"/>
                <w:szCs w:val="24"/>
                <w14:textFill>
                  <w14:solidFill>
                    <w14:schemeClr w14:val="tx1"/>
                  </w14:solidFill>
                </w14:textFill>
              </w:rPr>
            </w:pPr>
            <w:r>
              <w:rPr>
                <w:rFonts w:hint="eastAsia"/>
                <w:b w:val="0"/>
                <w:color w:val="000000" w:themeColor="text1"/>
                <w:kern w:val="2"/>
                <w:sz w:val="24"/>
                <w:szCs w:val="24"/>
                <w14:textFill>
                  <w14:solidFill>
                    <w14:schemeClr w14:val="tx1"/>
                  </w14:solidFill>
                </w14:textFill>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903" w:type="dxa"/>
            <w:vAlign w:val="center"/>
          </w:tcPr>
          <w:p>
            <w:pPr>
              <w:pStyle w:val="108"/>
              <w:pBdr>
                <w:bottom w:val="none" w:color="auto" w:sz="0" w:space="0"/>
              </w:pBdr>
              <w:tabs>
                <w:tab w:val="clear" w:pos="4153"/>
                <w:tab w:val="clear" w:pos="8306"/>
              </w:tabs>
              <w:adjustRightInd/>
              <w:spacing w:line="240" w:lineRule="auto"/>
              <w:textAlignment w:val="auto"/>
              <w:rPr>
                <w:rFonts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2</w:t>
            </w:r>
          </w:p>
        </w:tc>
        <w:tc>
          <w:tcPr>
            <w:tcW w:w="1672" w:type="dxa"/>
            <w:vAlign w:val="center"/>
          </w:tcPr>
          <w:p>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委托人</w:t>
            </w:r>
          </w:p>
        </w:tc>
        <w:tc>
          <w:tcPr>
            <w:tcW w:w="7048" w:type="dxa"/>
            <w:vAlign w:val="center"/>
          </w:tcPr>
          <w:p>
            <w:pPr>
              <w:pStyle w:val="92"/>
              <w:widowControl w:val="0"/>
              <w:spacing w:before="0" w:beforeAutospacing="0" w:after="0" w:afterAutospacing="0"/>
              <w:jc w:val="both"/>
              <w:rPr>
                <w:b w:val="0"/>
                <w:color w:val="000000" w:themeColor="text1"/>
                <w:kern w:val="2"/>
                <w:sz w:val="24"/>
                <w:szCs w:val="24"/>
                <w14:textFill>
                  <w14:solidFill>
                    <w14:schemeClr w14:val="tx1"/>
                  </w14:solidFill>
                </w14:textFill>
              </w:rPr>
            </w:pPr>
            <w:r>
              <w:rPr>
                <w:rFonts w:hint="eastAsia"/>
                <w:b w:val="0"/>
                <w:color w:val="000000" w:themeColor="text1"/>
                <w:kern w:val="2"/>
                <w:sz w:val="24"/>
                <w:szCs w:val="24"/>
                <w14:textFill>
                  <w14:solidFill>
                    <w14:schemeClr w14:val="tx1"/>
                  </w14:solidFill>
                </w14:textFill>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903" w:type="dxa"/>
            <w:vAlign w:val="center"/>
          </w:tcPr>
          <w:p>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p>
        </w:tc>
        <w:tc>
          <w:tcPr>
            <w:tcW w:w="1672"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7048" w:type="dxa"/>
            <w:vAlign w:val="center"/>
          </w:tcPr>
          <w:p>
            <w:pPr>
              <w:pStyle w:val="92"/>
              <w:widowControl w:val="0"/>
              <w:spacing w:before="0" w:beforeAutospacing="0" w:after="0" w:afterAutospacing="0"/>
              <w:jc w:val="both"/>
              <w:rPr>
                <w:b w:val="0"/>
                <w:color w:val="000000" w:themeColor="text1"/>
                <w:kern w:val="2"/>
                <w:sz w:val="24"/>
                <w:szCs w:val="24"/>
                <w14:textFill>
                  <w14:solidFill>
                    <w14:schemeClr w14:val="tx1"/>
                  </w14:solidFill>
                </w14:textFill>
              </w:rPr>
            </w:pPr>
            <w:r>
              <w:rPr>
                <w:rFonts w:hint="eastAsia"/>
                <w:b w:val="0"/>
                <w:color w:val="000000" w:themeColor="text1"/>
                <w:kern w:val="2"/>
                <w:sz w:val="24"/>
                <w:szCs w:val="24"/>
                <w14:textFill>
                  <w14:solidFill>
                    <w14:schemeClr w14:val="tx1"/>
                  </w14:solidFill>
                </w14:textFill>
              </w:rPr>
              <w:t>合肥国际人才公寓消防工程应急施工项目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3" w:type="dxa"/>
            <w:vAlign w:val="center"/>
          </w:tcPr>
          <w:p>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4</w:t>
            </w:r>
          </w:p>
        </w:tc>
        <w:tc>
          <w:tcPr>
            <w:tcW w:w="1672"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项目编号</w:t>
            </w:r>
          </w:p>
        </w:tc>
        <w:tc>
          <w:tcPr>
            <w:tcW w:w="7048" w:type="dxa"/>
            <w:vAlign w:val="center"/>
          </w:tcPr>
          <w:p>
            <w:pPr>
              <w:pStyle w:val="92"/>
              <w:widowControl w:val="0"/>
              <w:spacing w:before="0" w:beforeAutospacing="0" w:after="0" w:afterAutospacing="0"/>
              <w:jc w:val="both"/>
              <w:rPr>
                <w:b w:val="0"/>
                <w:color w:val="000000" w:themeColor="text1"/>
                <w:kern w:val="2"/>
                <w:sz w:val="24"/>
                <w:szCs w:val="24"/>
                <w14:textFill>
                  <w14:solidFill>
                    <w14:schemeClr w14:val="tx1"/>
                  </w14:solidFill>
                </w14:textFill>
              </w:rPr>
            </w:pPr>
            <w:r>
              <w:rPr>
                <w:rFonts w:hint="eastAsia"/>
                <w:b w:val="0"/>
                <w:color w:val="000000" w:themeColor="text1"/>
                <w:kern w:val="2"/>
                <w:sz w:val="24"/>
                <w:szCs w:val="24"/>
                <w14:textFill>
                  <w14:solidFill>
                    <w14:schemeClr w14:val="tx1"/>
                  </w14:solidFill>
                </w14:textFill>
              </w:rPr>
              <w:t>2022WLBLZB00085号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903" w:type="dxa"/>
            <w:vAlign w:val="center"/>
          </w:tcPr>
          <w:p>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w:t>
            </w:r>
          </w:p>
        </w:tc>
        <w:tc>
          <w:tcPr>
            <w:tcW w:w="1672" w:type="dxa"/>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项目性质</w:t>
            </w:r>
          </w:p>
        </w:tc>
        <w:tc>
          <w:tcPr>
            <w:tcW w:w="7048" w:type="dxa"/>
            <w:vAlign w:val="center"/>
          </w:tcPr>
          <w:p>
            <w:pPr>
              <w:pStyle w:val="92"/>
              <w:widowControl w:val="0"/>
              <w:spacing w:before="0" w:beforeAutospacing="0" w:after="0" w:afterAutospacing="0"/>
              <w:jc w:val="both"/>
              <w:rPr>
                <w:b w:val="0"/>
                <w:color w:val="000000" w:themeColor="text1"/>
                <w:kern w:val="2"/>
                <w:sz w:val="24"/>
                <w:szCs w:val="24"/>
                <w14:textFill>
                  <w14:solidFill>
                    <w14:schemeClr w14:val="tx1"/>
                  </w14:solidFill>
                </w14:textFill>
              </w:rPr>
            </w:pPr>
            <w:r>
              <w:rPr>
                <w:rFonts w:hint="eastAsia"/>
                <w:b w:val="0"/>
                <w:color w:val="000000" w:themeColor="text1"/>
                <w:kern w:val="2"/>
                <w:sz w:val="24"/>
                <w:szCs w:val="24"/>
                <w14:textFill>
                  <w14:solidFill>
                    <w14:schemeClr w14:val="tx1"/>
                  </w14:solidFill>
                </w14:textFill>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903" w:type="dxa"/>
            <w:vAlign w:val="center"/>
          </w:tcPr>
          <w:p>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w:t>
            </w:r>
          </w:p>
        </w:tc>
        <w:tc>
          <w:tcPr>
            <w:tcW w:w="1672" w:type="dxa"/>
            <w:vAlign w:val="center"/>
          </w:tcPr>
          <w:p>
            <w:pPr>
              <w:jc w:val="center"/>
              <w:rPr>
                <w:rFonts w:ascii="宋体" w:hAnsi="宋体"/>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资金来源</w:t>
            </w:r>
          </w:p>
        </w:tc>
        <w:tc>
          <w:tcPr>
            <w:tcW w:w="7048" w:type="dxa"/>
            <w:vAlign w:val="center"/>
          </w:tcPr>
          <w:p>
            <w:pPr>
              <w:autoSpaceDE w:val="0"/>
              <w:autoSpaceDN w:val="0"/>
              <w:adjustRightInd w:val="0"/>
              <w:spacing w:line="360" w:lineRule="auto"/>
              <w:jc w:val="left"/>
              <w:rPr>
                <w:rFonts w:ascii="宋体" w:hAnsi="宋体"/>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 xml:space="preserve">□财政投资   </w:t>
            </w:r>
            <w:r>
              <w:rPr>
                <w:rFonts w:hint="eastAsia"/>
                <w:bCs/>
                <w:color w:val="000000" w:themeColor="text1"/>
                <w:sz w:val="24"/>
                <w:szCs w:val="24"/>
                <w14:textFill>
                  <w14:solidFill>
                    <w14:schemeClr w14:val="tx1"/>
                  </w14:solidFill>
                </w14:textFill>
              </w:rPr>
              <w:sym w:font="Wingdings" w:char="F0FE"/>
            </w:r>
            <w:r>
              <w:rPr>
                <w:rFonts w:hint="eastAsia"/>
                <w:bCs/>
                <w:color w:val="000000" w:themeColor="text1"/>
                <w:sz w:val="24"/>
                <w:szCs w:val="24"/>
                <w14:textFill>
                  <w14:solidFill>
                    <w14:schemeClr w14:val="tx1"/>
                  </w14:solidFill>
                </w14:textFill>
              </w:rPr>
              <w:t>委托人自筹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3" w:type="dxa"/>
            <w:vAlign w:val="center"/>
          </w:tcPr>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p>
        </w:tc>
        <w:tc>
          <w:tcPr>
            <w:tcW w:w="1672"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7048" w:type="dxa"/>
          </w:tcPr>
          <w:p>
            <w:pPr>
              <w:autoSpaceDE w:val="0"/>
              <w:autoSpaceDN w:val="0"/>
              <w:adjustRightIn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本项目按月支付进度款，每月度按照已完成并验收通过的工程审计价款的80%进行支付；C地块消防验收备案完成后，双方办理结算审计</w:t>
            </w:r>
            <w:r>
              <w:rPr>
                <w:rFonts w:hint="eastAsia" w:ascii="宋体" w:hAnsi="宋体"/>
                <w:color w:val="000000" w:themeColor="text1"/>
                <w:sz w:val="24"/>
                <w:szCs w:val="28"/>
                <w14:textFill>
                  <w14:solidFill>
                    <w14:schemeClr w14:val="tx1"/>
                  </w14:solidFill>
                </w14:textFill>
              </w:rPr>
              <w:t>同时需提交关于A地块后期消防工程实施的专项方案经甲方确认后</w:t>
            </w:r>
            <w:r>
              <w:rPr>
                <w:rFonts w:hint="eastAsia" w:ascii="宋体" w:hAnsi="宋体"/>
                <w:color w:val="000000" w:themeColor="text1"/>
                <w:sz w:val="24"/>
                <w:szCs w:val="24"/>
                <w14:textFill>
                  <w14:solidFill>
                    <w14:schemeClr w14:val="tx1"/>
                  </w14:solidFill>
                </w14:textFill>
              </w:rPr>
              <w:t>，支付至审计价款的97%；剩余3%作为质保金，待质保期（24个月）满且中标人履行合同约定工程维修义务并回访使用单位，使用单位确认无质量维修问题后一个月内一次性支付尾款（无息），中标人未完成回访，视为未完成工程维修义务，招标人有权不支付3%质保金且不承担为任何违约责任。</w:t>
            </w:r>
          </w:p>
          <w:p>
            <w:pPr>
              <w:autoSpaceDE w:val="0"/>
              <w:autoSpaceDN w:val="0"/>
              <w:adjustRightIn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备注：招标人支付工程款前中标人应提供合法合规的增值税专用发票，否则招标人有权延迟支付。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3" w:type="dxa"/>
            <w:vAlign w:val="center"/>
          </w:tcPr>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w:t>
            </w:r>
          </w:p>
        </w:tc>
        <w:tc>
          <w:tcPr>
            <w:tcW w:w="1672" w:type="dxa"/>
            <w:vAlign w:val="center"/>
          </w:tcPr>
          <w:p>
            <w:pPr>
              <w:spacing w:line="360" w:lineRule="auto"/>
              <w:jc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投标有效期</w:t>
            </w:r>
          </w:p>
        </w:tc>
        <w:tc>
          <w:tcPr>
            <w:tcW w:w="7048" w:type="dxa"/>
            <w:vAlign w:val="center"/>
          </w:tcPr>
          <w:p>
            <w:pPr>
              <w:spacing w:line="360" w:lineRule="auto"/>
              <w:jc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lang w:val="zh-CN"/>
                <w14:textFill>
                  <w14:solidFill>
                    <w14:schemeClr w14:val="tx1"/>
                  </w14:solidFill>
                </w14:textFill>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3" w:type="dxa"/>
            <w:vAlign w:val="center"/>
          </w:tcPr>
          <w:p>
            <w:pPr>
              <w:spacing w:line="360" w:lineRule="auto"/>
              <w:ind w:right="102"/>
              <w:jc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1672" w:type="dxa"/>
            <w:vAlign w:val="center"/>
          </w:tcPr>
          <w:p>
            <w:pPr>
              <w:spacing w:line="360" w:lineRule="auto"/>
              <w:jc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标段划分</w:t>
            </w:r>
          </w:p>
        </w:tc>
        <w:tc>
          <w:tcPr>
            <w:tcW w:w="7048" w:type="dxa"/>
            <w:vAlign w:val="center"/>
          </w:tcPr>
          <w:p>
            <w:pPr>
              <w:spacing w:line="360" w:lineRule="auto"/>
              <w:jc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1672"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计划工期</w:t>
            </w:r>
          </w:p>
        </w:tc>
        <w:tc>
          <w:tcPr>
            <w:tcW w:w="7048" w:type="dxa"/>
            <w:vAlign w:val="center"/>
          </w:tcPr>
          <w:p>
            <w:pPr>
              <w:spacing w:line="360" w:lineRule="auto"/>
              <w:rPr>
                <w:rFonts w:ascii="宋体" w:hAnsi="宋体" w:cs="Courier New"/>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服务期限：80天（如服务期限满，合同金额未用满，经双方同意，服务期限可以顺延）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p>
        </w:tc>
        <w:tc>
          <w:tcPr>
            <w:tcW w:w="1672" w:type="dxa"/>
            <w:vAlign w:val="bottom"/>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质量要求</w:t>
            </w:r>
          </w:p>
        </w:tc>
        <w:tc>
          <w:tcPr>
            <w:tcW w:w="7048" w:type="dxa"/>
            <w:vAlign w:val="bottom"/>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p>
        </w:tc>
        <w:tc>
          <w:tcPr>
            <w:tcW w:w="1672" w:type="dxa"/>
            <w:vAlign w:val="center"/>
          </w:tcPr>
          <w:p>
            <w:pPr>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投标人资质条件、能力和信誉</w:t>
            </w:r>
          </w:p>
        </w:tc>
        <w:tc>
          <w:tcPr>
            <w:tcW w:w="7048" w:type="dxa"/>
            <w:vAlign w:val="center"/>
          </w:tcPr>
          <w:p>
            <w:pPr>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（1）资质条件：见附录1</w:t>
            </w:r>
          </w:p>
          <w:p>
            <w:pPr>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（2）财务要求：见附录2</w:t>
            </w:r>
          </w:p>
          <w:p>
            <w:pPr>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（3）业绩要求：见附录3</w:t>
            </w:r>
          </w:p>
          <w:p>
            <w:pPr>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（4）信誉要求：见附录4</w:t>
            </w:r>
          </w:p>
          <w:p>
            <w:pPr>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（5）项目经理资格：见附录5 </w:t>
            </w:r>
          </w:p>
          <w:p>
            <w:pPr>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（6）其他要求：见附录6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p>
        </w:tc>
        <w:tc>
          <w:tcPr>
            <w:tcW w:w="1672" w:type="dxa"/>
            <w:vAlign w:val="center"/>
          </w:tcPr>
          <w:p>
            <w:pPr>
              <w:snapToGrid w:val="0"/>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是否接受联合体投标</w:t>
            </w:r>
          </w:p>
        </w:tc>
        <w:tc>
          <w:tcPr>
            <w:tcW w:w="7048"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sym w:font="Wingdings" w:char="F0FE"/>
            </w:r>
            <w:r>
              <w:rPr>
                <w:rFonts w:hint="eastAsia" w:ascii="宋体" w:hAnsi="宋体"/>
                <w:bCs/>
                <w:color w:val="000000" w:themeColor="text1"/>
                <w:sz w:val="24"/>
                <w:szCs w:val="24"/>
                <w14:textFill>
                  <w14:solidFill>
                    <w14:schemeClr w14:val="tx1"/>
                  </w14:solidFill>
                </w14:textFill>
              </w:rPr>
              <w:t xml:space="preserve">不接受   </w:t>
            </w:r>
            <w:r>
              <w:rPr>
                <w:rFonts w:hint="eastAsia" w:ascii="宋体" w:hAnsi="宋体"/>
                <w:color w:val="000000" w:themeColor="text1"/>
                <w:sz w:val="24"/>
                <w:szCs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p>
        </w:tc>
        <w:tc>
          <w:tcPr>
            <w:tcW w:w="1672" w:type="dxa"/>
            <w:vAlign w:val="center"/>
          </w:tcPr>
          <w:p>
            <w:pPr>
              <w:spacing w:line="360" w:lineRule="auto"/>
              <w:jc w:val="cente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质量保证</w:t>
            </w:r>
            <w:r>
              <w:rPr>
                <w:rFonts w:hint="eastAsia" w:ascii="宋体" w:hAnsi="宋体"/>
                <w:color w:val="000000" w:themeColor="text1"/>
                <w:sz w:val="24"/>
                <w:szCs w:val="24"/>
                <w:lang w:val="zh-CN"/>
                <w14:textFill>
                  <w14:solidFill>
                    <w14:schemeClr w14:val="tx1"/>
                  </w14:solidFill>
                </w14:textFill>
              </w:rPr>
              <w:t>期</w:t>
            </w:r>
          </w:p>
        </w:tc>
        <w:tc>
          <w:tcPr>
            <w:tcW w:w="7048" w:type="dxa"/>
            <w:vAlign w:val="center"/>
          </w:tcPr>
          <w:p>
            <w:pPr>
              <w:adjustRightInd w:val="0"/>
              <w:spacing w:line="360" w:lineRule="auto"/>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工程内容施工完毕并经招标人验收合格之日起两年。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p>
        </w:tc>
        <w:tc>
          <w:tcPr>
            <w:tcW w:w="1672" w:type="dxa"/>
            <w:vAlign w:val="center"/>
          </w:tcPr>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踏勘现场</w:t>
            </w:r>
          </w:p>
        </w:tc>
        <w:tc>
          <w:tcPr>
            <w:tcW w:w="7048" w:type="dxa"/>
            <w:vAlign w:val="center"/>
          </w:tcPr>
          <w:p>
            <w:pPr>
              <w:spacing w:line="360" w:lineRule="auto"/>
              <w:rPr>
                <w:rFonts w:ascii="宋体" w:hAnsi="宋体"/>
                <w:color w:val="000000" w:themeColor="text1"/>
                <w:sz w:val="24"/>
                <w:szCs w:val="24"/>
                <w:lang w:val="zh-CN"/>
                <w14:textFill>
                  <w14:solidFill>
                    <w14:schemeClr w14:val="tx1"/>
                  </w14:solidFill>
                </w14:textFill>
              </w:rPr>
            </w:pPr>
            <w:r>
              <w:rPr>
                <w:rFonts w:hint="eastAsia"/>
                <w:b/>
                <w:bCs/>
                <w:color w:val="000000" w:themeColor="text1"/>
                <w:sz w:val="24"/>
                <w:szCs w:val="24"/>
                <w14:textFill>
                  <w14:solidFill>
                    <w14:schemeClr w14:val="tx1"/>
                  </w14:solidFill>
                </w14:textFill>
              </w:rPr>
              <w:sym w:font="Wingdings" w:char="F0FE"/>
            </w:r>
            <w:r>
              <w:rPr>
                <w:rFonts w:hint="eastAsia" w:ascii="宋体" w:hAnsi="宋体"/>
                <w:bCs/>
                <w:color w:val="000000" w:themeColor="text1"/>
                <w:sz w:val="24"/>
                <w:szCs w:val="24"/>
                <w14:textFill>
                  <w14:solidFill>
                    <w14:schemeClr w14:val="tx1"/>
                  </w14:solidFill>
                </w14:textFill>
              </w:rPr>
              <w:t xml:space="preserve">自行踏勘  </w:t>
            </w:r>
            <w:r>
              <w:rPr>
                <w:rFonts w:hint="eastAsia" w:ascii="宋体" w:hAnsi="宋体"/>
                <w:color w:val="000000" w:themeColor="text1"/>
                <w:sz w:val="24"/>
                <w:szCs w:val="24"/>
                <w14:textFill>
                  <w14:solidFill>
                    <w14:schemeClr w14:val="tx1"/>
                  </w14:solidFill>
                </w14:textFill>
              </w:rPr>
              <w:t>□招标人</w:t>
            </w:r>
            <w:r>
              <w:rPr>
                <w:rFonts w:hint="eastAsia" w:ascii="宋体" w:hAnsi="宋体"/>
                <w:color w:val="000000" w:themeColor="text1"/>
                <w:sz w:val="24"/>
                <w:szCs w:val="24"/>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16</w:t>
            </w:r>
          </w:p>
        </w:tc>
        <w:tc>
          <w:tcPr>
            <w:tcW w:w="1672" w:type="dxa"/>
            <w:vAlign w:val="center"/>
          </w:tcPr>
          <w:p>
            <w:pPr>
              <w:spacing w:line="360" w:lineRule="auto"/>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w:t>
            </w:r>
          </w:p>
        </w:tc>
        <w:tc>
          <w:tcPr>
            <w:tcW w:w="7048" w:type="dxa"/>
            <w:vAlign w:val="center"/>
          </w:tcPr>
          <w:p>
            <w:pPr>
              <w:spacing w:line="360" w:lineRule="auto"/>
              <w:rPr>
                <w:b/>
                <w:bCs/>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正、副本各一份，封装成册并封装文件袋内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17</w:t>
            </w:r>
          </w:p>
        </w:tc>
        <w:tc>
          <w:tcPr>
            <w:tcW w:w="1672" w:type="dxa"/>
            <w:vAlign w:val="center"/>
          </w:tcPr>
          <w:p>
            <w:pPr>
              <w:snapToGrid w:val="0"/>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开标时间</w:t>
            </w:r>
          </w:p>
          <w:p>
            <w:pPr>
              <w:snapToGrid w:val="0"/>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及地点</w:t>
            </w:r>
          </w:p>
        </w:tc>
        <w:tc>
          <w:tcPr>
            <w:tcW w:w="7048" w:type="dxa"/>
            <w:vAlign w:val="center"/>
          </w:tcPr>
          <w:p>
            <w:pPr>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开标时间：详见招标公告</w:t>
            </w:r>
          </w:p>
          <w:p>
            <w:pPr>
              <w:snapToGrid w:val="0"/>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18</w:t>
            </w:r>
          </w:p>
        </w:tc>
        <w:tc>
          <w:tcPr>
            <w:tcW w:w="1672" w:type="dxa"/>
            <w:vAlign w:val="center"/>
          </w:tcPr>
          <w:p>
            <w:pPr>
              <w:spacing w:line="360" w:lineRule="auto"/>
              <w:ind w:left="841" w:hanging="84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分  包</w:t>
            </w:r>
          </w:p>
        </w:tc>
        <w:tc>
          <w:tcPr>
            <w:tcW w:w="7048" w:type="dxa"/>
            <w:vAlign w:val="center"/>
          </w:tcPr>
          <w:p>
            <w:pPr>
              <w:spacing w:line="360" w:lineRule="auto"/>
              <w:ind w:left="841" w:hanging="84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19</w:t>
            </w:r>
          </w:p>
        </w:tc>
        <w:tc>
          <w:tcPr>
            <w:tcW w:w="1672"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评标办法</w:t>
            </w:r>
          </w:p>
        </w:tc>
        <w:tc>
          <w:tcPr>
            <w:tcW w:w="7048" w:type="dxa"/>
            <w:vAlign w:val="center"/>
          </w:tcPr>
          <w:p>
            <w:pPr>
              <w:widowControl/>
              <w:spacing w:line="360" w:lineRule="auto"/>
              <w:jc w:val="left"/>
              <w:rPr>
                <w:rFonts w:ascii="宋体" w:hAnsi="宋体"/>
                <w:color w:val="000000" w:themeColor="text1"/>
                <w:sz w:val="24"/>
                <w:szCs w:val="24"/>
                <w14:textFill>
                  <w14:solidFill>
                    <w14:schemeClr w14:val="tx1"/>
                  </w14:solidFill>
                </w14:textFill>
              </w:rPr>
            </w:pPr>
            <w:r>
              <w:rPr>
                <w:rFonts w:hint="eastAsia"/>
                <w:color w:val="000000" w:themeColor="text1"/>
                <w:spacing w:val="-5"/>
                <w:sz w:val="24"/>
                <w:szCs w:val="24"/>
                <w14:textFill>
                  <w14:solidFill>
                    <w14:schemeClr w14:val="tx1"/>
                  </w14:solidFill>
                </w14:textFill>
              </w:rPr>
              <w:t>综合评分法</w:t>
            </w:r>
            <w:r>
              <w:rPr>
                <w:rFonts w:hint="eastAsia" w:ascii="宋体" w:hAnsi="宋体"/>
                <w:color w:val="000000" w:themeColor="text1"/>
                <w:sz w:val="24"/>
                <w:szCs w:val="24"/>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3"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20</w:t>
            </w:r>
          </w:p>
        </w:tc>
        <w:tc>
          <w:tcPr>
            <w:tcW w:w="1672" w:type="dxa"/>
            <w:vAlign w:val="center"/>
          </w:tcPr>
          <w:p>
            <w:pPr>
              <w:snapToGrid w:val="0"/>
              <w:spacing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投标保证金金额</w:t>
            </w:r>
          </w:p>
        </w:tc>
        <w:tc>
          <w:tcPr>
            <w:tcW w:w="7048" w:type="dxa"/>
            <w:vAlign w:val="center"/>
          </w:tcPr>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人民币大写</w:t>
            </w:r>
            <w:r>
              <w:rPr>
                <w:rFonts w:hint="eastAsia" w:ascii="宋体" w:hAnsi="宋体"/>
                <w:color w:val="000000" w:themeColor="text1"/>
                <w:sz w:val="24"/>
                <w:szCs w:val="24"/>
                <w:highlight w:val="none"/>
                <w:u w:val="single"/>
                <w14:textFill>
                  <w14:solidFill>
                    <w14:schemeClr w14:val="tx1"/>
                  </w14:solidFill>
                </w14:textFill>
              </w:rPr>
              <w:t>柒万整（小写：￥70000.00）</w:t>
            </w:r>
            <w:r>
              <w:rPr>
                <w:rFonts w:hint="eastAsia" w:ascii="宋体" w:hAnsi="宋体"/>
                <w:color w:val="000000" w:themeColor="text1"/>
                <w:sz w:val="24"/>
                <w:szCs w:val="24"/>
                <w:highlight w:val="none"/>
                <w14:textFill>
                  <w14:solidFill>
                    <w14:schemeClr w14:val="tx1"/>
                  </w14:solidFill>
                </w14:textFill>
              </w:rPr>
              <w:t>，投标保证金应当在</w:t>
            </w:r>
            <w:r>
              <w:rPr>
                <w:rFonts w:hint="eastAsia" w:ascii="宋体" w:hAnsi="宋体"/>
                <w:b/>
                <w:bCs/>
                <w:color w:val="000000" w:themeColor="text1"/>
                <w:sz w:val="24"/>
                <w:szCs w:val="24"/>
                <w:highlight w:val="none"/>
                <w14:textFill>
                  <w14:solidFill>
                    <w14:schemeClr w14:val="tx1"/>
                  </w14:solidFill>
                </w14:textFill>
              </w:rPr>
              <w:t>报名截止时间前</w:t>
            </w:r>
            <w:r>
              <w:rPr>
                <w:rFonts w:hint="eastAsia" w:ascii="宋体" w:hAnsi="宋体"/>
                <w:color w:val="000000" w:themeColor="text1"/>
                <w:sz w:val="24"/>
                <w:szCs w:val="24"/>
                <w:highlight w:val="none"/>
                <w14:textFill>
                  <w14:solidFill>
                    <w14:schemeClr w14:val="tx1"/>
                  </w14:solidFill>
                </w14:textFill>
              </w:rPr>
              <w:t>足额到达本次招标公告指定账号（项目多标的，应向所投标的对应账号交纳），且应当从投标人本单位账号转出。</w:t>
            </w:r>
          </w:p>
          <w:p>
            <w:pPr>
              <w:widowControl/>
              <w:spacing w:line="360" w:lineRule="auto"/>
              <w:jc w:val="left"/>
              <w:rPr>
                <w:color w:val="000000" w:themeColor="text1"/>
                <w:spacing w:val="-5"/>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03"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21</w:t>
            </w:r>
          </w:p>
        </w:tc>
        <w:tc>
          <w:tcPr>
            <w:tcW w:w="1672" w:type="dxa"/>
            <w:vAlign w:val="center"/>
          </w:tcPr>
          <w:p>
            <w:pPr>
              <w:snapToGrid w:val="0"/>
              <w:spacing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投标保证金交纳账号</w:t>
            </w:r>
          </w:p>
        </w:tc>
        <w:tc>
          <w:tcPr>
            <w:tcW w:w="7048" w:type="dxa"/>
            <w:vAlign w:val="center"/>
          </w:tcPr>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单位名称：合肥文旅博览集团有限公司</w:t>
            </w: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开户银行账号：1302010509200182305</w:t>
            </w: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开户银行：中国工商银行合肥望江路支行</w:t>
            </w:r>
          </w:p>
          <w:p>
            <w:pPr>
              <w:widowControl/>
              <w:spacing w:line="360" w:lineRule="auto"/>
              <w:jc w:val="left"/>
              <w:rPr>
                <w:color w:val="000000" w:themeColor="text1"/>
                <w:spacing w:val="-5"/>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转帐时请备注“××项目投标保证金，并将转账凭证扫描件发送至报名邮箱。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3"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22</w:t>
            </w:r>
          </w:p>
        </w:tc>
        <w:tc>
          <w:tcPr>
            <w:tcW w:w="1672" w:type="dxa"/>
            <w:vAlign w:val="center"/>
          </w:tcPr>
          <w:p>
            <w:pPr>
              <w:spacing w:line="360" w:lineRule="auto"/>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履约保证金</w:t>
            </w:r>
          </w:p>
        </w:tc>
        <w:tc>
          <w:tcPr>
            <w:tcW w:w="7048" w:type="dxa"/>
            <w:vAlign w:val="center"/>
          </w:tcPr>
          <w:p>
            <w:pPr>
              <w:adjustRightInd w:val="0"/>
              <w:snapToGri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1.履约保证金：合同价的</w:t>
            </w:r>
            <w:r>
              <w:rPr>
                <w:rFonts w:hint="eastAsia" w:ascii="宋体" w:hAnsi="宋体"/>
                <w:color w:val="000000" w:themeColor="text1"/>
                <w:sz w:val="24"/>
                <w:szCs w:val="24"/>
                <w:highlight w:val="none"/>
                <w:u w:val="single"/>
                <w14:textFill>
                  <w14:solidFill>
                    <w14:schemeClr w14:val="tx1"/>
                  </w14:solidFill>
                </w14:textFill>
              </w:rPr>
              <w:t xml:space="preserve"> 5 </w:t>
            </w:r>
            <w:r>
              <w:rPr>
                <w:rFonts w:hint="eastAsia" w:ascii="宋体" w:hAnsi="宋体"/>
                <w:color w:val="000000" w:themeColor="text1"/>
                <w:sz w:val="24"/>
                <w:szCs w:val="24"/>
                <w:highlight w:val="none"/>
                <w14:textFill>
                  <w14:solidFill>
                    <w14:schemeClr w14:val="tx1"/>
                  </w14:solidFill>
                </w14:textFill>
              </w:rPr>
              <w:t>%。</w:t>
            </w:r>
          </w:p>
          <w:p>
            <w:pPr>
              <w:adjustRightInd w:val="0"/>
              <w:snapToGri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担保形式：</w:t>
            </w:r>
            <w:r>
              <w:rPr>
                <w:rFonts w:hint="eastAsia" w:ascii="宋体" w:hAnsi="宋体"/>
                <w:color w:val="000000" w:themeColor="text1"/>
                <w:sz w:val="24"/>
                <w:szCs w:val="24"/>
                <w:highlight w:val="none"/>
                <w14:textFill>
                  <w14:solidFill>
                    <w14:schemeClr w14:val="tx1"/>
                  </w14:solidFill>
                </w14:textFill>
              </w:rPr>
              <w:sym w:font="Wingdings 2" w:char="0052"/>
            </w:r>
            <w:r>
              <w:rPr>
                <w:rFonts w:hint="eastAsia" w:ascii="宋体" w:hAnsi="宋体"/>
                <w:color w:val="000000" w:themeColor="text1"/>
                <w:sz w:val="24"/>
                <w:szCs w:val="24"/>
                <w:highlight w:val="none"/>
                <w14:textFill>
                  <w14:solidFill>
                    <w14:schemeClr w14:val="tx1"/>
                  </w14:solidFill>
                </w14:textFill>
              </w:rPr>
              <w:t xml:space="preserve">现金保证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□现金支票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□银行汇票</w:t>
            </w:r>
          </w:p>
          <w:p>
            <w:pPr>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MS Mincho" w:hAnsi="MS Mincho" w:eastAsia="MS Mincho" w:cs="MS Mincho"/>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银行保函</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MS Mincho" w:hAnsi="MS Mincho" w:eastAsia="MS Mincho" w:cs="MS Mincho"/>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 xml:space="preserve">银行转账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□工程担保  □保证保险</w:t>
            </w: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3.收受人为:□招标人、</w:t>
            </w:r>
            <w:r>
              <w:rPr>
                <w:rFonts w:ascii="宋体" w:hAnsi="宋体"/>
                <w:color w:val="000000" w:themeColor="text1"/>
                <w:sz w:val="24"/>
                <w:szCs w:val="24"/>
                <w:highlight w:val="none"/>
                <w14:textFill>
                  <w14:solidFill>
                    <w14:schemeClr w14:val="tx1"/>
                  </w14:solidFill>
                </w14:textFill>
              </w:rPr>
              <w:sym w:font="Wingdings" w:char="F0FE"/>
            </w:r>
            <w:r>
              <w:rPr>
                <w:rFonts w:hint="eastAsia" w:ascii="宋体" w:hAnsi="宋体"/>
                <w:color w:val="000000" w:themeColor="text1"/>
                <w:sz w:val="24"/>
                <w:szCs w:val="24"/>
                <w:highlight w:val="none"/>
                <w14:textFill>
                  <w14:solidFill>
                    <w14:schemeClr w14:val="tx1"/>
                  </w14:solidFill>
                </w14:textFill>
              </w:rPr>
              <w:t>委托人</w:t>
            </w:r>
          </w:p>
          <w:p>
            <w:pPr>
              <w:adjustRightInd w:val="0"/>
              <w:snapToGri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5.保证金必须从基本账户转出，投标保证金汇出帐户名称应与投标单位名称应完全一致。</w:t>
            </w:r>
          </w:p>
          <w:p>
            <w:pPr>
              <w:adjustRightInd w:val="0"/>
              <w:snapToGrid w:val="0"/>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6.退还：担保有效期满7日内（最迟不超过项目竣工验收通过后28天）。</w:t>
            </w:r>
          </w:p>
          <w:p>
            <w:pPr>
              <w:adjustRightInd w:val="0"/>
              <w:snapToGrid w:val="0"/>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7.如采用银行保函，</w:t>
            </w:r>
            <w:r>
              <w:rPr>
                <w:rFonts w:ascii="宋体" w:hAnsi="宋体"/>
                <w:b/>
                <w:color w:val="000000" w:themeColor="text1"/>
                <w:sz w:val="24"/>
                <w:szCs w:val="24"/>
                <w:highlight w:val="none"/>
                <w14:textFill>
                  <w14:solidFill>
                    <w14:schemeClr w14:val="tx1"/>
                  </w14:solidFill>
                </w14:textFill>
              </w:rPr>
              <w:t>银行保函由合肥本地银行或在合肥具有分支机构的银行出</w:t>
            </w:r>
            <w:r>
              <w:rPr>
                <w:rFonts w:hint="eastAsia" w:ascii="宋体" w:hAnsi="宋体"/>
                <w:b/>
                <w:color w:val="000000" w:themeColor="text1"/>
                <w:sz w:val="24"/>
                <w:szCs w:val="24"/>
                <w:highlight w:val="none"/>
                <w14:textFill>
                  <w14:solidFill>
                    <w14:schemeClr w14:val="tx1"/>
                  </w14:solidFill>
                </w14:textFill>
              </w:rPr>
              <w:t>具的</w:t>
            </w:r>
            <w:r>
              <w:rPr>
                <w:rFonts w:ascii="宋体" w:hAnsi="宋体"/>
                <w:b/>
                <w:color w:val="000000" w:themeColor="text1"/>
                <w:sz w:val="24"/>
                <w:szCs w:val="24"/>
                <w:highlight w:val="none"/>
                <w14:textFill>
                  <w14:solidFill>
                    <w14:schemeClr w14:val="tx1"/>
                  </w14:solidFill>
                </w14:textFill>
              </w:rPr>
              <w:t>见索即付无条件保函。</w:t>
            </w:r>
          </w:p>
          <w:p>
            <w:pPr>
              <w:adjustRightInd w:val="0"/>
              <w:snapToGrid w:val="0"/>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8.如采用工程担保，工程担保由注册地在合肥市</w:t>
            </w:r>
            <w:r>
              <w:rPr>
                <w:rFonts w:ascii="宋体" w:hAnsi="宋体"/>
                <w:b/>
                <w:color w:val="000000" w:themeColor="text1"/>
                <w:sz w:val="24"/>
                <w:szCs w:val="24"/>
                <w:highlight w:val="none"/>
                <w14:textFill>
                  <w14:solidFill>
                    <w14:schemeClr w14:val="tx1"/>
                  </w14:solidFill>
                </w14:textFill>
              </w:rPr>
              <w:t>或在合肥具有分支机构的</w:t>
            </w:r>
            <w:r>
              <w:rPr>
                <w:rFonts w:hint="eastAsia" w:ascii="宋体" w:hAnsi="宋体"/>
                <w:b/>
                <w:color w:val="000000" w:themeColor="text1"/>
                <w:sz w:val="24"/>
                <w:szCs w:val="24"/>
                <w:highlight w:val="none"/>
                <w14:textFill>
                  <w14:solidFill>
                    <w14:schemeClr w14:val="tx1"/>
                  </w14:solidFill>
                </w14:textFill>
              </w:rPr>
              <w:t>国有担保公司出具的无条件担保。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3"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23</w:t>
            </w:r>
          </w:p>
        </w:tc>
        <w:tc>
          <w:tcPr>
            <w:tcW w:w="1672"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业绩要求</w:t>
            </w:r>
          </w:p>
        </w:tc>
        <w:tc>
          <w:tcPr>
            <w:tcW w:w="7048" w:type="dxa"/>
            <w:vAlign w:val="center"/>
          </w:tcPr>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本招标文件中要求的业绩须为:</w:t>
            </w:r>
            <w:r>
              <w:rPr>
                <w:rFonts w:ascii="宋体" w:hAnsi="宋体"/>
                <w:color w:val="000000" w:themeColor="text1"/>
                <w:sz w:val="24"/>
                <w:szCs w:val="24"/>
                <w:highlight w:val="none"/>
                <w14:textFill>
                  <w14:solidFill>
                    <w14:schemeClr w14:val="tx1"/>
                  </w14:solidFill>
                </w14:textFill>
              </w:rPr>
              <w:t xml:space="preserve"> </w:t>
            </w:r>
          </w:p>
          <w:p>
            <w:pPr>
              <w:spacing w:line="360" w:lineRule="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已完成的业绩；投标文件中须同时提供以下业绩证明材料：</w:t>
            </w:r>
          </w:p>
          <w:p>
            <w:pPr>
              <w:spacing w:line="360" w:lineRule="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（1）业绩合同扫描件；</w:t>
            </w:r>
          </w:p>
          <w:p>
            <w:pPr>
              <w:spacing w:line="360" w:lineRule="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（2）与该业绩对应的项目已完成的证明材料（提供项目竣工验收证明（至少有建设单位、监理单位、施工单位三方参与竣工验收）或业主（合同甲方）提供的证明）。</w:t>
            </w:r>
          </w:p>
          <w:p>
            <w:pPr>
              <w:spacing w:line="360" w:lineRule="auto"/>
              <w:rPr>
                <w:rFonts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b/>
                <w:color w:val="000000" w:themeColor="text1"/>
                <w:kern w:val="0"/>
                <w:sz w:val="24"/>
                <w:szCs w:val="24"/>
                <w:highlight w:val="none"/>
                <w14:textFill>
                  <w14:solidFill>
                    <w14:schemeClr w14:val="tx1"/>
                  </w14:solidFill>
                </w14:textFill>
              </w:rPr>
              <w:t>（1）已完成的证明材料须加盖项目业主单位或合同甲方公章(证明材料已有项目业主单位或合同甲方公章的除外)，否则评标委员会不予认可。</w:t>
            </w:r>
            <w:r>
              <w:rPr>
                <w:rFonts w:hint="eastAsia" w:ascii="宋体" w:hAnsi="宋体"/>
                <w:b/>
                <w:color w:val="000000" w:themeColor="text1"/>
                <w:sz w:val="24"/>
                <w:szCs w:val="24"/>
                <w:highlight w:val="none"/>
                <w14:textFill>
                  <w14:solidFill>
                    <w14:schemeClr w14:val="tx1"/>
                  </w14:solidFill>
                </w14:textFill>
              </w:rPr>
              <w:t>（2）如果业绩合同和项目已完成的证明材料中的合同金额、建筑面积等合同要素不一致的，以项目已完成的证明材料为准。</w:t>
            </w:r>
          </w:p>
          <w:p>
            <w:pPr>
              <w:adjustRightInd w:val="0"/>
              <w:snapToGri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2</w:t>
            </w:r>
            <w:r>
              <w:rPr>
                <w:rFonts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如投标人提供的上述1要求的业绩证明材料均未能明确反映出招标文件所要求的内容的</w:t>
            </w:r>
            <w:r>
              <w:rPr>
                <w:rFonts w:hint="eastAsia" w:ascii="宋体" w:hAnsi="宋体"/>
                <w:b/>
                <w:color w:val="000000" w:themeColor="text1"/>
                <w:sz w:val="24"/>
                <w:szCs w:val="24"/>
                <w:highlight w:val="none"/>
                <w:u w:val="single"/>
                <w14:textFill>
                  <w14:solidFill>
                    <w14:schemeClr w14:val="tx1"/>
                  </w14:solidFill>
                </w14:textFill>
              </w:rPr>
              <w:t>（如合同总金额、面积或项目负责人名称等）</w:t>
            </w:r>
            <w:r>
              <w:rPr>
                <w:rFonts w:hint="eastAsia" w:ascii="宋体" w:hAnsi="宋体"/>
                <w:b/>
                <w:color w:val="000000" w:themeColor="text1"/>
                <w:sz w:val="24"/>
                <w:szCs w:val="24"/>
                <w:highlight w:val="none"/>
                <w14:textFill>
                  <w14:solidFill>
                    <w14:schemeClr w14:val="tx1"/>
                  </w14:solidFill>
                </w14:textFill>
              </w:rPr>
              <w:t>，应另附业主（或合同甲方）证明材料予以明确说明，须加盖项目业主单位或合同甲方公章，否则评标委员会不予认可。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3"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4</w:t>
            </w:r>
          </w:p>
        </w:tc>
        <w:tc>
          <w:tcPr>
            <w:tcW w:w="8720" w:type="dxa"/>
            <w:gridSpan w:val="2"/>
            <w:vAlign w:val="center"/>
          </w:tcPr>
          <w:p>
            <w:pPr>
              <w:adjustRightInd w:val="0"/>
              <w:snapToGrid w:val="0"/>
              <w:spacing w:line="360" w:lineRule="auto"/>
              <w:jc w:val="center"/>
              <w:rPr>
                <w:rFonts w:ascii="MS Mincho" w:hAnsi="MS Mincho" w:eastAsia="MS Mincho" w:cs="MS Mincho"/>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03"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w:t>
            </w:r>
          </w:p>
        </w:tc>
        <w:tc>
          <w:tcPr>
            <w:tcW w:w="1672" w:type="dxa"/>
            <w:vAlign w:val="center"/>
          </w:tcPr>
          <w:p>
            <w:pPr>
              <w:spacing w:line="360" w:lineRule="auto"/>
              <w:jc w:val="center"/>
              <w:rPr>
                <w:rFonts w:ascii="宋体" w:hAnsi="宋体" w:cs="宋体"/>
                <w:color w:val="000000" w:themeColor="text1"/>
                <w:spacing w:val="-6"/>
                <w:sz w:val="24"/>
                <w:szCs w:val="24"/>
                <w:highlight w:val="none"/>
                <w:lang w:val="zh-CN" w:bidi="zh-CN"/>
                <w14:textFill>
                  <w14:solidFill>
                    <w14:schemeClr w14:val="tx1"/>
                  </w14:solidFill>
                </w14:textFill>
              </w:rPr>
            </w:pPr>
            <w:r>
              <w:rPr>
                <w:rFonts w:hint="eastAsia" w:ascii="宋体" w:hAnsi="宋体" w:cs="宋体"/>
                <w:color w:val="000000" w:themeColor="text1"/>
                <w:spacing w:val="-6"/>
                <w:sz w:val="24"/>
                <w:szCs w:val="24"/>
                <w:highlight w:val="none"/>
                <w:lang w:val="zh-CN" w:bidi="zh-CN"/>
                <w14:textFill>
                  <w14:solidFill>
                    <w14:schemeClr w14:val="tx1"/>
                  </w14:solidFill>
                </w14:textFill>
              </w:rPr>
              <w:t>人员要求</w:t>
            </w:r>
          </w:p>
        </w:tc>
        <w:tc>
          <w:tcPr>
            <w:tcW w:w="7048" w:type="dxa"/>
            <w:vAlign w:val="center"/>
          </w:tcPr>
          <w:p>
            <w:pPr>
              <w:pStyle w:val="200"/>
              <w:numPr>
                <w:ilvl w:val="0"/>
                <w:numId w:val="2"/>
              </w:numPr>
              <w:tabs>
                <w:tab w:val="left" w:pos="293"/>
              </w:tabs>
              <w:spacing w:line="360" w:lineRule="auto"/>
              <w:ind w:left="0" w:firstLine="0"/>
              <w:rPr>
                <w:color w:val="000000" w:themeColor="text1"/>
                <w:spacing w:val="-6"/>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投标人一旦中标，本项目项目经理（注册建造师）、技术负责人、各专业工程师及施工机械等在整个项目施工期间必须在位，项目经理（注册建造师）每天在岗工作时间不得少于</w:t>
            </w:r>
            <w:r>
              <w:rPr>
                <w:color w:val="000000" w:themeColor="text1"/>
                <w:sz w:val="24"/>
                <w:szCs w:val="24"/>
                <w:highlight w:val="none"/>
                <w14:textFill>
                  <w14:solidFill>
                    <w14:schemeClr w14:val="tx1"/>
                  </w14:solidFill>
                </w14:textFill>
              </w:rPr>
              <w:t>8</w:t>
            </w:r>
            <w:r>
              <w:rPr>
                <w:rFonts w:hint="eastAsia"/>
                <w:color w:val="000000" w:themeColor="text1"/>
                <w:sz w:val="24"/>
                <w:szCs w:val="24"/>
                <w:highlight w:val="none"/>
                <w14:textFill>
                  <w14:solidFill>
                    <w14:schemeClr w14:val="tx1"/>
                  </w14:solidFill>
                </w14:textFill>
              </w:rPr>
              <w:t>个小时，每月不得少于</w:t>
            </w:r>
            <w:r>
              <w:rPr>
                <w:color w:val="000000" w:themeColor="text1"/>
                <w:sz w:val="24"/>
                <w:szCs w:val="24"/>
                <w:highlight w:val="none"/>
                <w14:textFill>
                  <w14:solidFill>
                    <w14:schemeClr w14:val="tx1"/>
                  </w14:solidFill>
                </w14:textFill>
              </w:rPr>
              <w:t>26</w:t>
            </w:r>
            <w:r>
              <w:rPr>
                <w:rFonts w:hint="eastAsia"/>
                <w:color w:val="000000" w:themeColor="text1"/>
                <w:sz w:val="24"/>
                <w:szCs w:val="24"/>
                <w:highlight w:val="none"/>
                <w14:textFill>
                  <w14:solidFill>
                    <w14:schemeClr w14:val="tx1"/>
                  </w14:solidFill>
                </w14:textFill>
              </w:rPr>
              <w:t>天。</w:t>
            </w:r>
          </w:p>
          <w:p>
            <w:pPr>
              <w:pStyle w:val="200"/>
              <w:numPr>
                <w:ilvl w:val="0"/>
                <w:numId w:val="2"/>
              </w:numPr>
              <w:tabs>
                <w:tab w:val="left" w:pos="293"/>
              </w:tabs>
              <w:spacing w:line="360" w:lineRule="auto"/>
              <w:ind w:left="0" w:firstLine="0"/>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 xml:space="preserve">中标人不得擅自更换投标时所报项目经理、技术负责人及中标后确定配备的其他主要管理人员和技术人员, </w:t>
            </w:r>
            <w:r>
              <w:rPr>
                <w:rFonts w:hint="eastAsia"/>
                <w:color w:val="000000" w:themeColor="text1"/>
                <w:spacing w:val="-6"/>
                <w:sz w:val="24"/>
                <w:szCs w:val="24"/>
                <w:highlight w:val="none"/>
                <w:lang w:val="en-US"/>
                <w14:textFill>
                  <w14:solidFill>
                    <w14:schemeClr w14:val="tx1"/>
                  </w14:solidFill>
                </w14:textFill>
              </w:rPr>
              <w:t>擅自</w:t>
            </w:r>
            <w:r>
              <w:rPr>
                <w:rFonts w:hint="eastAsia"/>
                <w:color w:val="000000" w:themeColor="text1"/>
                <w:sz w:val="24"/>
                <w:szCs w:val="24"/>
                <w:highlight w:val="none"/>
                <w14:textFill>
                  <w14:solidFill>
                    <w14:schemeClr w14:val="tx1"/>
                  </w14:solidFill>
                </w14:textFill>
              </w:rPr>
              <w:t>更换项目经理、项目技术负责人，处以违约金</w:t>
            </w:r>
            <w:r>
              <w:rPr>
                <w:rFonts w:hint="eastAsia"/>
                <w:color w:val="000000" w:themeColor="text1"/>
                <w:sz w:val="24"/>
                <w:szCs w:val="24"/>
                <w:highlight w:val="none"/>
                <w:lang w:val="en-US"/>
                <w14:textFill>
                  <w14:solidFill>
                    <w14:schemeClr w14:val="tx1"/>
                  </w14:solidFill>
                </w14:textFill>
              </w:rPr>
              <w:t>1</w:t>
            </w:r>
            <w:r>
              <w:rPr>
                <w:color w:val="000000" w:themeColor="text1"/>
                <w:sz w:val="24"/>
                <w:szCs w:val="24"/>
                <w:highlight w:val="none"/>
                <w14:textFill>
                  <w14:solidFill>
                    <w14:schemeClr w14:val="tx1"/>
                  </w14:solidFill>
                </w14:textFill>
              </w:rPr>
              <w:t>0</w:t>
            </w:r>
            <w:r>
              <w:rPr>
                <w:rFonts w:hint="eastAsia"/>
                <w:color w:val="000000" w:themeColor="text1"/>
                <w:sz w:val="24"/>
                <w:szCs w:val="24"/>
                <w:highlight w:val="none"/>
                <w14:textFill>
                  <w14:solidFill>
                    <w14:schemeClr w14:val="tx1"/>
                  </w14:solidFill>
                </w14:textFill>
              </w:rPr>
              <w:t>万元</w:t>
            </w:r>
            <w:r>
              <w:rPr>
                <w:rFonts w:hint="eastAsia"/>
                <w:color w:val="000000" w:themeColor="text1"/>
                <w:sz w:val="24"/>
                <w:szCs w:val="24"/>
                <w:highlight w:val="none"/>
                <w:lang w:val="en-US"/>
                <w14:textFill>
                  <w14:solidFill>
                    <w14:schemeClr w14:val="tx1"/>
                  </w14:solidFill>
                </w14:textFill>
              </w:rPr>
              <w:t>/人/次</w:t>
            </w:r>
            <w:r>
              <w:rPr>
                <w:rFonts w:hint="eastAsia"/>
                <w:color w:val="000000" w:themeColor="text1"/>
                <w:sz w:val="24"/>
                <w:szCs w:val="24"/>
                <w:highlight w:val="none"/>
                <w14:textFill>
                  <w14:solidFill>
                    <w14:schemeClr w14:val="tx1"/>
                  </w14:solidFill>
                </w14:textFill>
              </w:rPr>
              <w:t>。项目经理、技术负责人不得擅自离岗，否则将处以</w:t>
            </w:r>
            <w:r>
              <w:rPr>
                <w:color w:val="000000" w:themeColor="text1"/>
                <w:sz w:val="24"/>
                <w:szCs w:val="24"/>
                <w:highlight w:val="none"/>
                <w14:textFill>
                  <w14:solidFill>
                    <w14:schemeClr w14:val="tx1"/>
                  </w14:solidFill>
                </w14:textFill>
              </w:rPr>
              <w:t>2000</w:t>
            </w:r>
            <w:r>
              <w:rPr>
                <w:rFonts w:hint="eastAsia"/>
                <w:color w:val="000000" w:themeColor="text1"/>
                <w:sz w:val="24"/>
                <w:szCs w:val="24"/>
                <w:highlight w:val="none"/>
                <w14:textFill>
                  <w14:solidFill>
                    <w14:schemeClr w14:val="tx1"/>
                  </w14:solidFill>
                </w14:textFill>
              </w:rPr>
              <w:t>元</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人</w:t>
            </w:r>
            <w:r>
              <w:rPr>
                <w:rFonts w:hint="eastAsia"/>
                <w:color w:val="000000" w:themeColor="text1"/>
                <w:sz w:val="24"/>
                <w:szCs w:val="24"/>
                <w:highlight w:val="none"/>
                <w:lang w:val="en-US"/>
                <w14:textFill>
                  <w14:solidFill>
                    <w14:schemeClr w14:val="tx1"/>
                  </w14:solidFill>
                </w14:textFill>
              </w:rPr>
              <w:t>/</w:t>
            </w:r>
            <w:r>
              <w:rPr>
                <w:rFonts w:hint="eastAsia"/>
                <w:color w:val="000000" w:themeColor="text1"/>
                <w:sz w:val="24"/>
                <w:szCs w:val="24"/>
                <w:highlight w:val="none"/>
                <w14:textFill>
                  <w14:solidFill>
                    <w14:schemeClr w14:val="tx1"/>
                  </w14:solidFill>
                </w14:textFill>
              </w:rPr>
              <w:t>天的违约金。</w:t>
            </w:r>
            <w:r>
              <w:rPr>
                <w:rFonts w:hint="eastAsia"/>
                <w:color w:val="000000" w:themeColor="text1"/>
                <w:spacing w:val="-6"/>
                <w:sz w:val="24"/>
                <w:szCs w:val="24"/>
                <w:highlight w:val="none"/>
                <w14:textFill>
                  <w14:solidFill>
                    <w14:schemeClr w14:val="tx1"/>
                  </w14:solidFill>
                </w14:textFill>
              </w:rPr>
              <w:t>确需更换时，须经招标人同意，更换后人员不得低于中标人投标时所报人员资质和技术水平。招标人如认为有必要，可要求对上述人员中的部分人员作出更好的调整。否则招标人有权终止合同，由此造成的损失，中标人自行承担并赔偿全部损失。</w:t>
            </w:r>
          </w:p>
          <w:p>
            <w:pPr>
              <w:pStyle w:val="200"/>
              <w:numPr>
                <w:ilvl w:val="0"/>
                <w:numId w:val="2"/>
              </w:numPr>
              <w:tabs>
                <w:tab w:val="left" w:pos="293"/>
              </w:tabs>
              <w:spacing w:line="360" w:lineRule="auto"/>
              <w:ind w:left="0" w:firstLine="0"/>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3"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bookmarkStart w:id="6" w:name="_Hlt509650929"/>
            <w:bookmarkEnd w:id="6"/>
            <w:bookmarkStart w:id="7" w:name="_Hlt509649669"/>
            <w:bookmarkEnd w:id="7"/>
            <w:bookmarkStart w:id="8" w:name="_Hlt509650961"/>
            <w:bookmarkEnd w:id="8"/>
            <w:bookmarkStart w:id="9" w:name="_Hlt509650932"/>
            <w:bookmarkEnd w:id="9"/>
            <w:bookmarkStart w:id="10" w:name="_Hlt509650333"/>
            <w:bookmarkEnd w:id="10"/>
            <w:bookmarkStart w:id="11" w:name="_Hlt509649330"/>
            <w:bookmarkEnd w:id="11"/>
            <w:bookmarkStart w:id="12" w:name="_Hlt509650027"/>
            <w:bookmarkEnd w:id="12"/>
            <w:bookmarkStart w:id="13" w:name="_Hlt509649795"/>
            <w:bookmarkEnd w:id="13"/>
            <w:bookmarkStart w:id="14" w:name="_Hlt509650103"/>
            <w:bookmarkEnd w:id="14"/>
            <w:bookmarkStart w:id="15" w:name="_Hlt509649678"/>
            <w:bookmarkEnd w:id="15"/>
            <w:bookmarkStart w:id="16" w:name="_Hlt519045778"/>
            <w:bookmarkEnd w:id="16"/>
            <w:bookmarkStart w:id="17" w:name="_Hlt509650116"/>
            <w:bookmarkEnd w:id="17"/>
            <w:bookmarkStart w:id="18" w:name="_Hlt509650936"/>
            <w:bookmarkEnd w:id="18"/>
            <w:bookmarkStart w:id="19" w:name="_Hlt509649645"/>
            <w:bookmarkEnd w:id="19"/>
            <w:bookmarkStart w:id="20" w:name="_Hlt509650690"/>
            <w:bookmarkEnd w:id="20"/>
            <w:bookmarkStart w:id="21" w:name="_Hlt526418153"/>
            <w:bookmarkEnd w:id="21"/>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.2</w:t>
            </w:r>
          </w:p>
        </w:tc>
        <w:tc>
          <w:tcPr>
            <w:tcW w:w="1672" w:type="dxa"/>
            <w:vAlign w:val="center"/>
          </w:tcPr>
          <w:p>
            <w:pPr>
              <w:spacing w:line="360" w:lineRule="auto"/>
              <w:jc w:val="center"/>
              <w:rPr>
                <w:rFonts w:ascii="宋体" w:hAnsi="宋体" w:cs="宋体"/>
                <w:color w:val="000000" w:themeColor="text1"/>
                <w:spacing w:val="-6"/>
                <w:sz w:val="24"/>
                <w:szCs w:val="24"/>
                <w:highlight w:val="none"/>
                <w:lang w:val="zh-CN" w:bidi="zh-CN"/>
                <w14:textFill>
                  <w14:solidFill>
                    <w14:schemeClr w14:val="tx1"/>
                  </w14:solidFill>
                </w14:textFill>
              </w:rPr>
            </w:pPr>
            <w:r>
              <w:rPr>
                <w:rFonts w:hint="eastAsia" w:ascii="宋体" w:hAnsi="宋体" w:cs="宋体"/>
                <w:color w:val="000000" w:themeColor="text1"/>
                <w:spacing w:val="-6"/>
                <w:sz w:val="24"/>
                <w:szCs w:val="24"/>
                <w:highlight w:val="none"/>
                <w:lang w:val="zh-CN" w:bidi="zh-CN"/>
                <w14:textFill>
                  <w14:solidFill>
                    <w14:schemeClr w14:val="tx1"/>
                  </w14:solidFill>
                </w14:textFill>
              </w:rPr>
              <w:t>服务要求</w:t>
            </w:r>
          </w:p>
        </w:tc>
        <w:tc>
          <w:tcPr>
            <w:tcW w:w="7048" w:type="dxa"/>
            <w:vAlign w:val="center"/>
          </w:tcPr>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lang w:val="en-US"/>
                <w14:textFill>
                  <w14:solidFill>
                    <w14:schemeClr w14:val="tx1"/>
                  </w14:solidFill>
                </w14:textFill>
              </w:rPr>
              <w:t>中标人</w:t>
            </w:r>
            <w:r>
              <w:rPr>
                <w:rFonts w:hint="eastAsia"/>
                <w:color w:val="000000" w:themeColor="text1"/>
                <w:spacing w:val="-6"/>
                <w:sz w:val="24"/>
                <w:szCs w:val="24"/>
                <w:highlight w:val="none"/>
                <w14:textFill>
                  <w14:solidFill>
                    <w14:schemeClr w14:val="tx1"/>
                  </w14:solidFill>
                </w14:textFill>
              </w:rPr>
              <w:t>负责</w:t>
            </w:r>
            <w:r>
              <w:rPr>
                <w:rFonts w:hint="eastAsia"/>
                <w:color w:val="000000" w:themeColor="text1"/>
                <w:spacing w:val="-6"/>
                <w:sz w:val="24"/>
                <w:szCs w:val="24"/>
                <w:highlight w:val="none"/>
                <w:lang w:val="en-US"/>
                <w14:textFill>
                  <w14:solidFill>
                    <w14:schemeClr w14:val="tx1"/>
                  </w14:solidFill>
                </w14:textFill>
              </w:rPr>
              <w:t>梳理确保C地块消防验收备案完成所需的工程量清单，并报招标人审核同意后实施。</w:t>
            </w:r>
            <w:r>
              <w:rPr>
                <w:rFonts w:hint="eastAsia"/>
                <w:color w:val="000000" w:themeColor="text1"/>
                <w:spacing w:val="-6"/>
                <w:sz w:val="24"/>
                <w:szCs w:val="24"/>
                <w:highlight w:val="none"/>
                <w14:textFill>
                  <w14:solidFill>
                    <w14:schemeClr w14:val="tx1"/>
                  </w14:solidFill>
                </w14:textFill>
              </w:rPr>
              <w:t>具体工作内容由招标人确定，并以招标人下发的任务单为准。</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中标人应按照招标人指令实施应急施工事项，具体内容以招标人下发的施工任务单为准，合同金额上限为</w:t>
            </w:r>
            <w:r>
              <w:rPr>
                <w:rFonts w:hint="eastAsia"/>
                <w:color w:val="000000" w:themeColor="text1"/>
                <w:spacing w:val="-6"/>
                <w:sz w:val="24"/>
                <w:szCs w:val="24"/>
                <w:highlight w:val="none"/>
                <w:lang w:val="en-US"/>
                <w14:textFill>
                  <w14:solidFill>
                    <w14:schemeClr w14:val="tx1"/>
                  </w14:solidFill>
                </w14:textFill>
              </w:rPr>
              <w:t>350</w:t>
            </w:r>
            <w:r>
              <w:rPr>
                <w:rFonts w:hint="eastAsia"/>
                <w:color w:val="000000" w:themeColor="text1"/>
                <w:spacing w:val="-6"/>
                <w:sz w:val="24"/>
                <w:szCs w:val="24"/>
                <w:highlight w:val="none"/>
                <w14:textFill>
                  <w14:solidFill>
                    <w14:schemeClr w14:val="tx1"/>
                  </w14:solidFill>
                </w14:textFill>
              </w:rPr>
              <w:t>万元，具体施工金额以实际发生量为准，中标人不得以合同金额未用完为理由向招标人提出索赔。</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中标人必须根据招标人要求的时间节点进行施工计划安排，不得以任何理由拒绝实施，连续二次拒绝实施，招标人有权单方面解除合同。</w:t>
            </w:r>
          </w:p>
          <w:p>
            <w:pPr>
              <w:pStyle w:val="200"/>
              <w:numPr>
                <w:ilvl w:val="0"/>
                <w:numId w:val="3"/>
              </w:numPr>
              <w:tabs>
                <w:tab w:val="left" w:pos="293"/>
              </w:tabs>
              <w:spacing w:line="360" w:lineRule="auto"/>
              <w:rPr>
                <w:color w:val="000000" w:themeColor="text1"/>
                <w:spacing w:val="-6"/>
                <w:sz w:val="24"/>
                <w:szCs w:val="24"/>
                <w:highlight w:val="none"/>
                <w:lang w:val="en-US"/>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所有涉及到消防验收的装饰、安装施工及其材料等，均要确保符合图纸设计要求，确保消防验收通过。</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现场施工务必做到文明施工标准，垃圾随时清理，并放置安全警示标牌及相关安全维护设施，施工现场动火务必报审，并经使用单位批准后方可安排专业人员持证上岗作业，并上报安全防范措施。</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涉及到专业项目分包务必具有相关资质条件，资质等级根据项目规模而确定，并报送</w:t>
            </w:r>
            <w:r>
              <w:rPr>
                <w:rFonts w:hint="eastAsia"/>
                <w:color w:val="000000" w:themeColor="text1"/>
                <w:spacing w:val="-6"/>
                <w:sz w:val="24"/>
                <w:szCs w:val="24"/>
                <w:highlight w:val="none"/>
                <w:lang w:val="en-US"/>
                <w14:textFill>
                  <w14:solidFill>
                    <w14:schemeClr w14:val="tx1"/>
                  </w14:solidFill>
                </w14:textFill>
              </w:rPr>
              <w:t>招标人</w:t>
            </w:r>
            <w:r>
              <w:rPr>
                <w:rFonts w:hint="eastAsia"/>
                <w:color w:val="000000" w:themeColor="text1"/>
                <w:spacing w:val="-6"/>
                <w:sz w:val="24"/>
                <w:szCs w:val="24"/>
                <w:highlight w:val="none"/>
                <w14:textFill>
                  <w14:solidFill>
                    <w14:schemeClr w14:val="tx1"/>
                  </w14:solidFill>
                </w14:textFill>
              </w:rPr>
              <w:t>、监理</w:t>
            </w:r>
            <w:r>
              <w:rPr>
                <w:rFonts w:hint="eastAsia"/>
                <w:color w:val="000000" w:themeColor="text1"/>
                <w:spacing w:val="-6"/>
                <w:sz w:val="24"/>
                <w:szCs w:val="24"/>
                <w:highlight w:val="none"/>
                <w:lang w:val="en-US"/>
                <w14:textFill>
                  <w14:solidFill>
                    <w14:schemeClr w14:val="tx1"/>
                  </w14:solidFill>
                </w14:textFill>
              </w:rPr>
              <w:t>人</w:t>
            </w:r>
            <w:r>
              <w:rPr>
                <w:rFonts w:hint="eastAsia"/>
                <w:color w:val="000000" w:themeColor="text1"/>
                <w:spacing w:val="-6"/>
                <w:sz w:val="24"/>
                <w:szCs w:val="24"/>
                <w:highlight w:val="none"/>
                <w14:textFill>
                  <w14:solidFill>
                    <w14:schemeClr w14:val="tx1"/>
                  </w14:solidFill>
                </w14:textFill>
              </w:rPr>
              <w:t>进行确认，专业分包项目务必验收合格后方可办理付款手续。</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lang w:val="en-US"/>
                <w14:textFill>
                  <w14:solidFill>
                    <w14:schemeClr w14:val="tx1"/>
                  </w14:solidFill>
                </w14:textFill>
              </w:rPr>
              <w:t>需中标人</w:t>
            </w:r>
            <w:r>
              <w:rPr>
                <w:rFonts w:hint="eastAsia"/>
                <w:color w:val="000000" w:themeColor="text1"/>
                <w:spacing w:val="-6"/>
                <w:sz w:val="24"/>
                <w:szCs w:val="24"/>
                <w:highlight w:val="none"/>
                <w14:textFill>
                  <w14:solidFill>
                    <w14:schemeClr w14:val="tx1"/>
                  </w14:solidFill>
                </w14:textFill>
              </w:rPr>
              <w:t>自行采购的材料、设备，材料品牌及厂家需经监理单位、招标人审核认可，并且选定的材料供应厂家、颜色、样式和价格须经监理单位及招标人审核后方可使用，施工材料需严格按照监理单位及招标人要求堆放，不得影响其他单位施工。</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本项目施工过程中可能涉及交叉施工的，中标人不得以任何理由拒绝配合施工且不得以任何理由拖延工期，对局部或者某项工程需提前投入使用的，投标人须无条件按招标人要求组织施工。</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成品保护及交叉施工：投标人自行踏勘现场，如因中标人原因对现场成品造成损坏的，由中标人负责维修直至满足原设计、监理单位及招标人要求，如中标人无法维修的，由中标人与原施工单位自行协调维修，费用由中标人承担，若中标人拒绝维修或拒绝承担维修费用的，招标人</w:t>
            </w:r>
            <w:r>
              <w:rPr>
                <w:rFonts w:hint="eastAsia"/>
                <w:color w:val="000000" w:themeColor="text1"/>
                <w:spacing w:val="-6"/>
                <w:sz w:val="24"/>
                <w:szCs w:val="24"/>
                <w:highlight w:val="none"/>
                <w:lang w:val="en-US"/>
                <w14:textFill>
                  <w14:solidFill>
                    <w14:schemeClr w14:val="tx1"/>
                  </w14:solidFill>
                </w14:textFill>
              </w:rPr>
              <w:t>有权安排其他单位进行施工，由此产生的所有费用均由投标人承担，且中标人视情节严重对投标人作出相应处罚</w:t>
            </w:r>
            <w:r>
              <w:rPr>
                <w:rFonts w:hint="eastAsia"/>
                <w:color w:val="000000" w:themeColor="text1"/>
                <w:spacing w:val="-6"/>
                <w:sz w:val="24"/>
                <w:szCs w:val="24"/>
                <w:highlight w:val="none"/>
                <w14:textFill>
                  <w14:solidFill>
                    <w14:schemeClr w14:val="tx1"/>
                  </w14:solidFill>
                </w14:textFill>
              </w:rPr>
              <w:t>。</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本工程不提供生活区、办公室，请中标单位自行解决。</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投标人在投标前应自行踏勘现场，以便了解现场实际情况，有利于施工组织设计的制作。踏勘现场所发生的费用及安全责任由投标人自行承担。</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投标人一旦中标，投标时所报的本项目的项目经理、技术负责人、中标后确定配备的其他主要管理人员和技术人员及施工机械等在整个项目施工期内必须在位，上班期间需要进行考勤打卡。中标人项目经理、技术负责人、安全负责人等主要管理人员须准时参加政府单位或建设单位或监理单位组织的工程会议，不得缺席，项目经理缺席按照 2000 元/次进行处罚，其他管理人员缺席按照 1000 元/次进行处罚，特殊情况请假须征得会议主持人的同意。</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工程建设过程中，中标人必须严格按照合同的要求，保质保量按期完成合同全部内容，若发现施工过程中投标人有严重违反合同中有关工程质量、安全、进度及农民工工资发放等主要条款的行为，除予以相应的处罚外，同时将视问题严重程度，扣除部分或全部履约保证金。</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 xml:space="preserve">若项目实施过程中，施工单位未按有关规定做好农民工工资发放，发生拖欠民工工资的事实或有民工为拖欠工资去有关部门投诉、上访的行为，除严格按照市、区关于建设领域农民工维权维稳管理办法规定处理外，还需向招标人支付相应的违约金，到招标人单位上访投诉的赔偿违约金 </w:t>
            </w:r>
            <w:r>
              <w:rPr>
                <w:rFonts w:hint="eastAsia"/>
                <w:color w:val="000000" w:themeColor="text1"/>
                <w:spacing w:val="-6"/>
                <w:sz w:val="24"/>
                <w:szCs w:val="24"/>
                <w:highlight w:val="none"/>
                <w:lang w:val="en-US"/>
                <w14:textFill>
                  <w14:solidFill>
                    <w14:schemeClr w14:val="tx1"/>
                  </w14:solidFill>
                </w14:textFill>
              </w:rPr>
              <w:t>5</w:t>
            </w:r>
            <w:r>
              <w:rPr>
                <w:rFonts w:hint="eastAsia"/>
                <w:color w:val="000000" w:themeColor="text1"/>
                <w:spacing w:val="-6"/>
                <w:sz w:val="24"/>
                <w:szCs w:val="24"/>
                <w:highlight w:val="none"/>
                <w14:textFill>
                  <w14:solidFill>
                    <w14:schemeClr w14:val="tx1"/>
                  </w14:solidFill>
                </w14:textFill>
              </w:rPr>
              <w:t xml:space="preserve">万元/次，到区政府（含职能部门）上访投诉的赔偿违约金 </w:t>
            </w:r>
            <w:r>
              <w:rPr>
                <w:rFonts w:hint="eastAsia"/>
                <w:color w:val="000000" w:themeColor="text1"/>
                <w:spacing w:val="-6"/>
                <w:sz w:val="24"/>
                <w:szCs w:val="24"/>
                <w:highlight w:val="none"/>
                <w:lang w:val="en-US"/>
                <w14:textFill>
                  <w14:solidFill>
                    <w14:schemeClr w14:val="tx1"/>
                  </w14:solidFill>
                </w14:textFill>
              </w:rPr>
              <w:t>10</w:t>
            </w:r>
            <w:r>
              <w:rPr>
                <w:rFonts w:hint="eastAsia"/>
                <w:color w:val="000000" w:themeColor="text1"/>
                <w:spacing w:val="-6"/>
                <w:sz w:val="24"/>
                <w:szCs w:val="24"/>
                <w:highlight w:val="none"/>
                <w14:textFill>
                  <w14:solidFill>
                    <w14:schemeClr w14:val="tx1"/>
                  </w14:solidFill>
                </w14:textFill>
              </w:rPr>
              <w:t xml:space="preserve"> 万元/次，到市政府上访投诉的赔偿违约金</w:t>
            </w:r>
            <w:r>
              <w:rPr>
                <w:rFonts w:hint="eastAsia"/>
                <w:color w:val="000000" w:themeColor="text1"/>
                <w:spacing w:val="-6"/>
                <w:sz w:val="24"/>
                <w:szCs w:val="24"/>
                <w:highlight w:val="none"/>
                <w:lang w:val="en-US"/>
                <w14:textFill>
                  <w14:solidFill>
                    <w14:schemeClr w14:val="tx1"/>
                  </w14:solidFill>
                </w14:textFill>
              </w:rPr>
              <w:t>20</w:t>
            </w:r>
            <w:r>
              <w:rPr>
                <w:rFonts w:hint="eastAsia"/>
                <w:color w:val="000000" w:themeColor="text1"/>
                <w:spacing w:val="-6"/>
                <w:sz w:val="24"/>
                <w:szCs w:val="24"/>
                <w:highlight w:val="none"/>
                <w14:textFill>
                  <w14:solidFill>
                    <w14:schemeClr w14:val="tx1"/>
                  </w14:solidFill>
                </w14:textFill>
              </w:rPr>
              <w:t xml:space="preserve">万元/次，到省政府上访投诉的赔偿违约金 </w:t>
            </w:r>
            <w:r>
              <w:rPr>
                <w:rFonts w:hint="eastAsia"/>
                <w:color w:val="000000" w:themeColor="text1"/>
                <w:spacing w:val="-6"/>
                <w:sz w:val="24"/>
                <w:szCs w:val="24"/>
                <w:highlight w:val="none"/>
                <w:lang w:val="en-US"/>
                <w14:textFill>
                  <w14:solidFill>
                    <w14:schemeClr w14:val="tx1"/>
                  </w14:solidFill>
                </w14:textFill>
              </w:rPr>
              <w:t>50</w:t>
            </w:r>
            <w:r>
              <w:rPr>
                <w:rFonts w:hint="eastAsia"/>
                <w:color w:val="000000" w:themeColor="text1"/>
                <w:spacing w:val="-6"/>
                <w:sz w:val="24"/>
                <w:szCs w:val="24"/>
                <w:highlight w:val="none"/>
                <w14:textFill>
                  <w14:solidFill>
                    <w14:schemeClr w14:val="tx1"/>
                  </w14:solidFill>
                </w14:textFill>
              </w:rPr>
              <w:t>万元/次。</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所有材料进场前必须经过监理单位、建设单位（代建单位）验收，提供出厂证明文件及有资质检测机构的检测报告，否则对施工方按照合同进行处罚。</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lang w:val="en-US"/>
                <w14:textFill>
                  <w14:solidFill>
                    <w14:schemeClr w14:val="tx1"/>
                  </w14:solidFill>
                </w14:textFill>
              </w:rPr>
              <w:t>本项目部分材料、设施设备可能由招标人提供，中标人需无条件接收并负责实施和看管，相应费用仅考虑人工及安装费用。</w:t>
            </w:r>
          </w:p>
          <w:p>
            <w:pPr>
              <w:pStyle w:val="200"/>
              <w:numPr>
                <w:ilvl w:val="0"/>
                <w:numId w:val="3"/>
              </w:numPr>
              <w:tabs>
                <w:tab w:val="left" w:pos="293"/>
              </w:tabs>
              <w:spacing w:line="360" w:lineRule="auto"/>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lang w:val="en-US"/>
                <w14:textFill>
                  <w14:solidFill>
                    <w14:schemeClr w14:val="tx1"/>
                  </w14:solidFill>
                </w14:textFill>
              </w:rPr>
              <w:t>本项目不仅需保证C地块的消防备案验收，同时需提交关于A地块后期消防工程实施的专项方案，以保证后期整个项目消防联动和功能的实现。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3"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bookmarkStart w:id="22" w:name="_Toc459990137"/>
            <w:bookmarkStart w:id="23" w:name="_Toc508363589"/>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.3</w:t>
            </w:r>
          </w:p>
        </w:tc>
        <w:tc>
          <w:tcPr>
            <w:tcW w:w="1672" w:type="dxa"/>
            <w:vAlign w:val="center"/>
          </w:tcPr>
          <w:p>
            <w:pPr>
              <w:spacing w:line="360" w:lineRule="auto"/>
              <w:jc w:val="center"/>
              <w:rPr>
                <w:rFonts w:ascii="宋体" w:hAnsi="宋体" w:cs="宋体"/>
                <w:color w:val="000000" w:themeColor="text1"/>
                <w:spacing w:val="-6"/>
                <w:sz w:val="24"/>
                <w:szCs w:val="24"/>
                <w:highlight w:val="none"/>
                <w:lang w:bidi="zh-CN"/>
                <w14:textFill>
                  <w14:solidFill>
                    <w14:schemeClr w14:val="tx1"/>
                  </w14:solidFill>
                </w14:textFill>
              </w:rPr>
            </w:pPr>
            <w:r>
              <w:rPr>
                <w:rFonts w:hint="eastAsia" w:ascii="宋体" w:hAnsi="宋体" w:cs="宋体"/>
                <w:color w:val="000000" w:themeColor="text1"/>
                <w:spacing w:val="-6"/>
                <w:sz w:val="24"/>
                <w:szCs w:val="24"/>
                <w:highlight w:val="none"/>
                <w:lang w:bidi="zh-CN"/>
                <w14:textFill>
                  <w14:solidFill>
                    <w14:schemeClr w14:val="tx1"/>
                  </w14:solidFill>
                </w14:textFill>
              </w:rPr>
              <w:t>结算方式</w:t>
            </w:r>
          </w:p>
        </w:tc>
        <w:tc>
          <w:tcPr>
            <w:tcW w:w="7048" w:type="dxa"/>
            <w:vAlign w:val="center"/>
          </w:tcPr>
          <w:p>
            <w:pPr>
              <w:pStyle w:val="200"/>
              <w:tabs>
                <w:tab w:val="left" w:pos="293"/>
              </w:tabs>
              <w:spacing w:line="360" w:lineRule="auto"/>
              <w:rPr>
                <w:b/>
                <w:bCs/>
                <w:color w:val="000000" w:themeColor="text1"/>
                <w:spacing w:val="-6"/>
                <w:sz w:val="24"/>
                <w:szCs w:val="24"/>
                <w:highlight w:val="none"/>
                <w14:textFill>
                  <w14:solidFill>
                    <w14:schemeClr w14:val="tx1"/>
                  </w14:solidFill>
                </w14:textFill>
              </w:rPr>
            </w:pPr>
            <w:r>
              <w:rPr>
                <w:rFonts w:hint="eastAsia"/>
                <w:b/>
                <w:bCs/>
                <w:color w:val="000000" w:themeColor="text1"/>
                <w:spacing w:val="-6"/>
                <w:sz w:val="24"/>
                <w:szCs w:val="24"/>
                <w:highlight w:val="none"/>
                <w14:textFill>
                  <w14:solidFill>
                    <w14:schemeClr w14:val="tx1"/>
                  </w14:solidFill>
                </w14:textFill>
              </w:rPr>
              <w:t>结算方式：本项目为固定费率招标，费率为90%。</w:t>
            </w:r>
            <w:r>
              <w:rPr>
                <w:rFonts w:hint="eastAsia"/>
                <w:color w:val="000000" w:themeColor="text1"/>
                <w:spacing w:val="-6"/>
                <w:sz w:val="24"/>
                <w:szCs w:val="24"/>
                <w:highlight w:val="none"/>
                <w14:textFill>
                  <w14:solidFill>
                    <w14:schemeClr w14:val="tx1"/>
                  </w14:solidFill>
                </w14:textFill>
              </w:rPr>
              <w:t>本次施工水电费按照</w:t>
            </w:r>
            <w:r>
              <w:rPr>
                <w:rFonts w:hint="eastAsia"/>
                <w:color w:val="000000" w:themeColor="text1"/>
                <w:spacing w:val="-6"/>
                <w:sz w:val="24"/>
                <w:szCs w:val="24"/>
                <w:highlight w:val="none"/>
                <w:lang w:val="en-US"/>
                <w14:textFill>
                  <w14:solidFill>
                    <w14:schemeClr w14:val="tx1"/>
                  </w14:solidFill>
                </w14:textFill>
              </w:rPr>
              <w:t>合同</w:t>
            </w:r>
            <w:r>
              <w:rPr>
                <w:rFonts w:hint="eastAsia"/>
                <w:color w:val="000000" w:themeColor="text1"/>
                <w:spacing w:val="-6"/>
                <w:sz w:val="24"/>
                <w:szCs w:val="24"/>
                <w:highlight w:val="none"/>
                <w14:textFill>
                  <w14:solidFill>
                    <w14:schemeClr w14:val="tx1"/>
                  </w14:solidFill>
                </w14:textFill>
              </w:rPr>
              <w:t>决算价</w:t>
            </w:r>
            <w:r>
              <w:rPr>
                <w:rFonts w:hint="eastAsia"/>
                <w:color w:val="000000" w:themeColor="text1"/>
                <w:spacing w:val="-6"/>
                <w:sz w:val="24"/>
                <w:szCs w:val="24"/>
                <w:highlight w:val="none"/>
                <w:lang w:val="en-US"/>
                <w14:textFill>
                  <w14:solidFill>
                    <w14:schemeClr w14:val="tx1"/>
                  </w14:solidFill>
                </w14:textFill>
              </w:rPr>
              <w:t>的</w:t>
            </w:r>
            <w:r>
              <w:rPr>
                <w:rFonts w:hint="eastAsia"/>
                <w:color w:val="000000" w:themeColor="text1"/>
                <w:spacing w:val="-6"/>
                <w:sz w:val="24"/>
                <w:szCs w:val="24"/>
                <w:highlight w:val="none"/>
                <w14:textFill>
                  <w14:solidFill>
                    <w14:schemeClr w14:val="tx1"/>
                  </w14:solidFill>
                </w14:textFill>
              </w:rPr>
              <w:t>0.7%</w:t>
            </w:r>
            <w:r>
              <w:rPr>
                <w:rFonts w:hint="eastAsia"/>
                <w:color w:val="000000" w:themeColor="text1"/>
                <w:spacing w:val="-6"/>
                <w:sz w:val="24"/>
                <w:szCs w:val="24"/>
                <w:highlight w:val="none"/>
                <w:lang w:val="en-US"/>
                <w14:textFill>
                  <w14:solidFill>
                    <w14:schemeClr w14:val="tx1"/>
                  </w14:solidFill>
                </w14:textFill>
              </w:rPr>
              <w:t>进行</w:t>
            </w:r>
            <w:r>
              <w:rPr>
                <w:rFonts w:hint="eastAsia"/>
                <w:color w:val="000000" w:themeColor="text1"/>
                <w:spacing w:val="-6"/>
                <w:sz w:val="24"/>
                <w:szCs w:val="24"/>
                <w:highlight w:val="none"/>
                <w14:textFill>
                  <w14:solidFill>
                    <w14:schemeClr w14:val="tx1"/>
                  </w14:solidFill>
                </w14:textFill>
              </w:rPr>
              <w:t>扣除。</w:t>
            </w:r>
          </w:p>
          <w:p>
            <w:pPr>
              <w:spacing w:line="360" w:lineRule="auto"/>
              <w:ind w:firstLine="456" w:firstLineChars="200"/>
              <w:rPr>
                <w:color w:val="000000" w:themeColor="text1"/>
                <w:spacing w:val="-6"/>
                <w:sz w:val="24"/>
                <w:szCs w:val="24"/>
                <w:highlight w:val="none"/>
                <w14:textFill>
                  <w14:solidFill>
                    <w14:schemeClr w14:val="tx1"/>
                  </w14:solidFill>
                </w14:textFill>
              </w:rPr>
            </w:pPr>
            <w:r>
              <w:rPr>
                <w:rFonts w:hint="eastAsia"/>
                <w:color w:val="000000" w:themeColor="text1"/>
                <w:spacing w:val="-6"/>
                <w:sz w:val="24"/>
                <w:szCs w:val="24"/>
                <w:highlight w:val="none"/>
                <w14:textFill>
                  <w14:solidFill>
                    <w14:schemeClr w14:val="tx1"/>
                  </w14:solidFill>
                </w14:textFill>
              </w:rPr>
              <w:t>工程结算和审计采用2018版安徽省建设工程计价依据（以下简称2018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其他主材通过市场询价确定价格，</w:t>
            </w:r>
            <w:r>
              <w:rPr>
                <w:rFonts w:hint="eastAsia"/>
                <w:b/>
                <w:bCs/>
                <w:color w:val="000000" w:themeColor="text1"/>
                <w:spacing w:val="-6"/>
                <w:sz w:val="24"/>
                <w:szCs w:val="24"/>
                <w:highlight w:val="none"/>
                <w:lang w:val="zh-CN"/>
                <w14:textFill>
                  <w14:solidFill>
                    <w14:schemeClr w14:val="tx1"/>
                  </w14:solidFill>
                </w14:textFill>
              </w:rPr>
              <w:t>主要材料及设备参与下浮</w:t>
            </w:r>
            <w:r>
              <w:rPr>
                <w:rFonts w:hint="eastAsia"/>
                <w:b/>
                <w:bCs/>
                <w:color w:val="000000" w:themeColor="text1"/>
                <w:spacing w:val="-6"/>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本项目履约期内，定额标准有调整的，招标人保留调整的权利。</w:t>
            </w:r>
          </w:p>
        </w:tc>
      </w:tr>
    </w:tbl>
    <w:p>
      <w:pPr>
        <w:spacing w:line="360" w:lineRule="auto"/>
        <w:rPr>
          <w:color w:val="000000" w:themeColor="text1"/>
          <w:sz w:val="24"/>
          <w:szCs w:val="24"/>
          <w14:textFill>
            <w14:solidFill>
              <w14:schemeClr w14:val="tx1"/>
            </w14:solidFill>
          </w14:textFill>
        </w:rPr>
      </w:pPr>
      <w:r>
        <w:rPr>
          <w:color w:val="000000" w:themeColor="text1"/>
          <w:sz w:val="24"/>
          <w:szCs w:val="24"/>
          <w:highlight w:val="none"/>
          <w14:textFill>
            <w14:solidFill>
              <w14:schemeClr w14:val="tx1"/>
            </w14:solidFill>
          </w14:textFill>
        </w:rPr>
        <w:br w:type="page"/>
      </w:r>
    </w:p>
    <w:p>
      <w:pPr>
        <w:rPr>
          <w:color w:val="000000" w:themeColor="text1"/>
          <w14:textFill>
            <w14:solidFill>
              <w14:schemeClr w14:val="tx1"/>
            </w14:solidFill>
          </w14:textFill>
        </w:rPr>
      </w:pPr>
    </w:p>
    <w:p>
      <w:pPr>
        <w:keepNext/>
        <w:keepLines/>
        <w:spacing w:before="260" w:after="260" w:line="416" w:lineRule="auto"/>
        <w:ind w:firstLine="628"/>
        <w:jc w:val="center"/>
        <w:outlineLvl w:val="1"/>
        <w:rPr>
          <w:rFonts w:ascii="黑体" w:hAnsi="黑体" w:eastAsia="黑体"/>
          <w:bCs/>
          <w:color w:val="000000" w:themeColor="text1"/>
          <w:sz w:val="32"/>
          <w:szCs w:val="32"/>
          <w14:textFill>
            <w14:solidFill>
              <w14:schemeClr w14:val="tx1"/>
            </w14:solidFill>
          </w14:textFill>
        </w:rPr>
      </w:pPr>
      <w:bookmarkStart w:id="24" w:name="_Toc122103678"/>
      <w:r>
        <w:rPr>
          <w:rFonts w:hint="eastAsia" w:ascii="黑体" w:hAnsi="黑体" w:eastAsia="黑体"/>
          <w:bCs/>
          <w:color w:val="000000" w:themeColor="text1"/>
          <w:sz w:val="32"/>
          <w:szCs w:val="32"/>
          <w14:textFill>
            <w14:solidFill>
              <w14:schemeClr w14:val="tx1"/>
            </w14:solidFill>
          </w14:textFill>
        </w:rPr>
        <w:t>附录1  资格审查条件(资质最低条件)</w:t>
      </w:r>
      <w:bookmarkEnd w:id="24"/>
    </w:p>
    <w:tbl>
      <w:tblPr>
        <w:tblStyle w:val="6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96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2" w:hRule="atLeast"/>
          <w:jc w:val="center"/>
        </w:trPr>
        <w:tc>
          <w:tcPr>
            <w:tcW w:w="9629" w:type="dxa"/>
            <w:tcBorders>
              <w:top w:val="single" w:color="auto" w:sz="4" w:space="0"/>
              <w:left w:val="single" w:color="auto" w:sz="4" w:space="0"/>
              <w:bottom w:val="single" w:color="auto" w:sz="4" w:space="0"/>
              <w:right w:val="single" w:color="auto" w:sz="4" w:space="0"/>
            </w:tcBorders>
          </w:tcPr>
          <w:p>
            <w:pPr>
              <w:adjustRightInd w:val="0"/>
              <w:snapToGrid w:val="0"/>
              <w:spacing w:before="120" w:beforeLines="50" w:line="360" w:lineRule="auto"/>
              <w:ind w:firstLine="420" w:firstLineChars="200"/>
              <w:rPr>
                <w:bCs/>
                <w:snapToGrid w:val="0"/>
                <w:color w:val="000000" w:themeColor="text1"/>
                <w:kern w:val="0"/>
                <w:szCs w:val="21"/>
                <w14:textFill>
                  <w14:solidFill>
                    <w14:schemeClr w14:val="tx1"/>
                  </w14:solidFill>
                </w14:textFill>
              </w:rPr>
            </w:pPr>
            <w:r>
              <w:rPr>
                <w:rFonts w:hint="eastAsia"/>
                <w:bCs/>
                <w:snapToGrid w:val="0"/>
                <w:color w:val="000000" w:themeColor="text1"/>
                <w:kern w:val="0"/>
                <w:szCs w:val="21"/>
                <w14:textFill>
                  <w14:solidFill>
                    <w14:schemeClr w14:val="tx1"/>
                  </w14:solidFill>
                </w14:textFill>
              </w:rPr>
              <w:t>1. 具备有效的营业执照。</w:t>
            </w:r>
          </w:p>
          <w:p>
            <w:pPr>
              <w:autoSpaceDE w:val="0"/>
              <w:autoSpaceDN w:val="0"/>
              <w:adjustRightInd w:val="0"/>
              <w:snapToGrid w:val="0"/>
              <w:spacing w:line="360" w:lineRule="auto"/>
              <w:ind w:firstLine="420" w:firstLineChars="200"/>
              <w:rPr>
                <w:bCs/>
                <w:snapToGrid w:val="0"/>
                <w:color w:val="000000" w:themeColor="text1"/>
                <w:kern w:val="0"/>
                <w:szCs w:val="21"/>
                <w14:textFill>
                  <w14:solidFill>
                    <w14:schemeClr w14:val="tx1"/>
                  </w14:solidFill>
                </w14:textFill>
              </w:rPr>
            </w:pPr>
            <w:r>
              <w:rPr>
                <w:rFonts w:hint="eastAsia"/>
                <w:bCs/>
                <w:snapToGrid w:val="0"/>
                <w:color w:val="000000" w:themeColor="text1"/>
                <w:kern w:val="0"/>
                <w:szCs w:val="21"/>
                <w14:textFill>
                  <w14:solidFill>
                    <w14:schemeClr w14:val="tx1"/>
                  </w14:solidFill>
                </w14:textFill>
              </w:rPr>
              <w:t>2. 具备有效的资质证书（见招标公告要求）、具备有效的安全生产许可证。</w:t>
            </w:r>
          </w:p>
          <w:p>
            <w:pPr>
              <w:adjustRightInd w:val="0"/>
              <w:snapToGrid w:val="0"/>
              <w:spacing w:line="360" w:lineRule="auto"/>
              <w:ind w:firstLine="420" w:firstLineChars="200"/>
              <w:rPr>
                <w:bCs/>
                <w:snapToGrid w:val="0"/>
                <w:color w:val="000000" w:themeColor="text1"/>
                <w:kern w:val="0"/>
                <w:szCs w:val="21"/>
                <w14:textFill>
                  <w14:solidFill>
                    <w14:schemeClr w14:val="tx1"/>
                  </w14:solidFill>
                </w14:textFill>
              </w:rPr>
            </w:pPr>
          </w:p>
        </w:tc>
      </w:tr>
    </w:tbl>
    <w:p>
      <w:pPr>
        <w:adjustRightInd w:val="0"/>
        <w:snapToGrid w:val="0"/>
        <w:spacing w:line="300" w:lineRule="exact"/>
        <w:rPr>
          <w:bCs/>
          <w:snapToGrid w:val="0"/>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 xml:space="preserve"> </w:t>
      </w:r>
      <w:r>
        <w:rPr>
          <w:bCs/>
          <w:snapToGrid w:val="0"/>
          <w:color w:val="000000" w:themeColor="text1"/>
          <w:kern w:val="0"/>
          <w:szCs w:val="21"/>
          <w14:textFill>
            <w14:solidFill>
              <w14:schemeClr w14:val="tx1"/>
            </w14:solidFill>
          </w14:textFill>
        </w:rPr>
        <w:t xml:space="preserve"> </w:t>
      </w:r>
      <w:r>
        <w:rPr>
          <w:rFonts w:hint="eastAsia"/>
          <w:bCs/>
          <w:snapToGrid w:val="0"/>
          <w:color w:val="000000" w:themeColor="text1"/>
          <w:kern w:val="0"/>
          <w:szCs w:val="21"/>
          <w14:textFill>
            <w14:solidFill>
              <w14:schemeClr w14:val="tx1"/>
            </w14:solidFill>
          </w14:textFill>
        </w:rPr>
        <w:t>注：投标人应提供营业执照、资质证书、安全生产许可证</w:t>
      </w:r>
      <w:bookmarkStart w:id="25" w:name="_Toc460226721"/>
      <w:bookmarkStart w:id="26" w:name="_Toc421916976"/>
      <w:bookmarkStart w:id="27" w:name="_Toc283798417"/>
      <w:bookmarkStart w:id="28" w:name="_Toc460226990"/>
      <w:bookmarkStart w:id="29" w:name="_Toc460660063"/>
      <w:r>
        <w:rPr>
          <w:rFonts w:hint="eastAsia"/>
          <w:bCs/>
          <w:snapToGrid w:val="0"/>
          <w:color w:val="000000" w:themeColor="text1"/>
          <w:kern w:val="0"/>
          <w:szCs w:val="21"/>
          <w14:textFill>
            <w14:solidFill>
              <w14:schemeClr w14:val="tx1"/>
            </w14:solidFill>
          </w14:textFill>
        </w:rPr>
        <w:t>。</w:t>
      </w:r>
    </w:p>
    <w:p>
      <w:pPr>
        <w:keepNext/>
        <w:keepLines/>
        <w:spacing w:before="260" w:after="260" w:line="416" w:lineRule="auto"/>
        <w:ind w:firstLine="628"/>
        <w:jc w:val="center"/>
        <w:outlineLvl w:val="1"/>
        <w:rPr>
          <w:rFonts w:ascii="黑体" w:hAnsi="黑体" w:eastAsia="黑体"/>
          <w:bCs/>
          <w:color w:val="000000" w:themeColor="text1"/>
          <w:sz w:val="32"/>
          <w:szCs w:val="32"/>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br w:type="page"/>
      </w:r>
      <w:bookmarkStart w:id="30" w:name="_Toc38879317"/>
      <w:bookmarkStart w:id="31" w:name="_Toc122103679"/>
      <w:bookmarkStart w:id="32" w:name="_Toc11078138"/>
      <w:r>
        <w:rPr>
          <w:rFonts w:hint="eastAsia" w:ascii="黑体" w:hAnsi="黑体" w:eastAsia="黑体"/>
          <w:bCs/>
          <w:color w:val="000000" w:themeColor="text1"/>
          <w:sz w:val="32"/>
          <w:szCs w:val="32"/>
          <w14:textFill>
            <w14:solidFill>
              <w14:schemeClr w14:val="tx1"/>
            </w14:solidFill>
          </w14:textFill>
        </w:rPr>
        <w:t>附录2  资格审查条件(财务最低要求)</w:t>
      </w:r>
      <w:bookmarkEnd w:id="25"/>
      <w:bookmarkEnd w:id="26"/>
      <w:bookmarkEnd w:id="27"/>
      <w:bookmarkEnd w:id="28"/>
      <w:bookmarkEnd w:id="29"/>
      <w:bookmarkEnd w:id="30"/>
      <w:bookmarkEnd w:id="31"/>
      <w:bookmarkEnd w:id="32"/>
    </w:p>
    <w:tbl>
      <w:tblPr>
        <w:tblStyle w:val="6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6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96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jc w:val="left"/>
              <w:rPr>
                <w:bCs/>
                <w:color w:val="000000" w:themeColor="text1"/>
                <w:szCs w:val="21"/>
                <w14:textFill>
                  <w14:solidFill>
                    <w14:schemeClr w14:val="tx1"/>
                  </w14:solidFill>
                </w14:textFill>
              </w:rPr>
            </w:pPr>
            <w:r>
              <w:rPr>
                <w:rFonts w:hint="eastAsia" w:ascii="MS Mincho" w:hAnsi="MS Mincho" w:eastAsia="MS Mincho" w:cs="MS Mincho"/>
                <w:bCs/>
                <w:snapToGrid w:val="0"/>
                <w:color w:val="000000" w:themeColor="text1"/>
                <w:kern w:val="0"/>
                <w:szCs w:val="21"/>
                <w14:textFill>
                  <w14:solidFill>
                    <w14:schemeClr w14:val="tx1"/>
                  </w14:solidFill>
                </w14:textFill>
              </w:rPr>
              <w:t>☑</w:t>
            </w:r>
            <w:r>
              <w:rPr>
                <w:rFonts w:hint="eastAsia"/>
                <w:bCs/>
                <w:color w:val="000000" w:themeColor="text1"/>
                <w:szCs w:val="21"/>
                <w14:textFill>
                  <w14:solidFill>
                    <w14:schemeClr w14:val="tx1"/>
                  </w14:solidFill>
                </w14:textFill>
              </w:rPr>
              <w:t>无需提供。</w:t>
            </w:r>
          </w:p>
          <w:p>
            <w:pPr>
              <w:adjustRightInd w:val="0"/>
              <w:snapToGrid w:val="0"/>
              <w:spacing w:line="360" w:lineRule="auto"/>
              <w:ind w:firstLine="420" w:firstLineChars="20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□需提供以下材料：</w:t>
            </w:r>
          </w:p>
          <w:p>
            <w:pPr>
              <w:adjustRightInd w:val="0"/>
              <w:snapToGrid w:val="0"/>
              <w:spacing w:line="360" w:lineRule="auto"/>
              <w:ind w:firstLine="420" w:firstLineChars="200"/>
              <w:jc w:val="lef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经会计师事务所或审计机构审计的财务会计报表，包括资产负债表、现金流量表、利润表、财务情况说明书</w:t>
            </w:r>
          </w:p>
          <w:p>
            <w:pPr>
              <w:adjustRightInd w:val="0"/>
              <w:snapToGrid w:val="0"/>
              <w:ind w:left="3"/>
              <w:jc w:val="center"/>
              <w:rPr>
                <w:bCs/>
                <w:color w:val="000000" w:themeColor="text1"/>
                <w:szCs w:val="21"/>
                <w14:textFill>
                  <w14:solidFill>
                    <w14:schemeClr w14:val="tx1"/>
                  </w14:solidFill>
                </w14:textFill>
              </w:rPr>
            </w:pPr>
          </w:p>
          <w:p>
            <w:pPr>
              <w:adjustRightInd w:val="0"/>
              <w:snapToGrid w:val="0"/>
              <w:ind w:left="3"/>
              <w:jc w:val="center"/>
              <w:rPr>
                <w:bCs/>
                <w:color w:val="000000" w:themeColor="text1"/>
                <w:szCs w:val="21"/>
                <w14:textFill>
                  <w14:solidFill>
                    <w14:schemeClr w14:val="tx1"/>
                  </w14:solidFill>
                </w14:textFill>
              </w:rPr>
            </w:pPr>
          </w:p>
          <w:p>
            <w:pPr>
              <w:adjustRightInd w:val="0"/>
              <w:snapToGrid w:val="0"/>
              <w:ind w:left="3"/>
              <w:jc w:val="center"/>
              <w:rPr>
                <w:bCs/>
                <w:color w:val="000000" w:themeColor="text1"/>
                <w:szCs w:val="21"/>
                <w14:textFill>
                  <w14:solidFill>
                    <w14:schemeClr w14:val="tx1"/>
                  </w14:solidFill>
                </w14:textFill>
              </w:rPr>
            </w:pPr>
          </w:p>
          <w:p>
            <w:pPr>
              <w:adjustRightInd w:val="0"/>
              <w:snapToGrid w:val="0"/>
              <w:ind w:left="3"/>
              <w:jc w:val="center"/>
              <w:rPr>
                <w:bCs/>
                <w:color w:val="000000" w:themeColor="text1"/>
                <w:szCs w:val="21"/>
                <w14:textFill>
                  <w14:solidFill>
                    <w14:schemeClr w14:val="tx1"/>
                  </w14:solidFill>
                </w14:textFill>
              </w:rPr>
            </w:pPr>
          </w:p>
          <w:p>
            <w:pPr>
              <w:adjustRightInd w:val="0"/>
              <w:snapToGrid w:val="0"/>
              <w:ind w:left="3"/>
              <w:jc w:val="center"/>
              <w:rPr>
                <w:bCs/>
                <w:color w:val="000000" w:themeColor="text1"/>
                <w:szCs w:val="21"/>
                <w14:textFill>
                  <w14:solidFill>
                    <w14:schemeClr w14:val="tx1"/>
                  </w14:solidFill>
                </w14:textFill>
              </w:rPr>
            </w:pPr>
          </w:p>
          <w:p>
            <w:pPr>
              <w:adjustRightInd w:val="0"/>
              <w:snapToGrid w:val="0"/>
              <w:ind w:left="3"/>
              <w:jc w:val="center"/>
              <w:rPr>
                <w:bCs/>
                <w:color w:val="000000" w:themeColor="text1"/>
                <w:szCs w:val="21"/>
                <w14:textFill>
                  <w14:solidFill>
                    <w14:schemeClr w14:val="tx1"/>
                  </w14:solidFill>
                </w14:textFill>
              </w:rPr>
            </w:pPr>
          </w:p>
          <w:p>
            <w:pPr>
              <w:adjustRightInd w:val="0"/>
              <w:snapToGrid w:val="0"/>
              <w:rPr>
                <w:bCs/>
                <w:color w:val="000000" w:themeColor="text1"/>
                <w:szCs w:val="21"/>
                <w14:textFill>
                  <w14:solidFill>
                    <w14:schemeClr w14:val="tx1"/>
                  </w14:solidFill>
                </w14:textFill>
              </w:rPr>
            </w:pPr>
          </w:p>
        </w:tc>
      </w:tr>
    </w:tbl>
    <w:p>
      <w:pPr>
        <w:adjustRightInd w:val="0"/>
        <w:snapToGrid w:val="0"/>
        <w:spacing w:line="300" w:lineRule="exact"/>
        <w:ind w:firstLine="420" w:firstLineChars="200"/>
        <w:rPr>
          <w:bCs/>
          <w:snapToGrid w:val="0"/>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注：</w:t>
      </w:r>
      <w:r>
        <w:rPr>
          <w:rFonts w:hint="eastAsia"/>
          <w:bCs/>
          <w:snapToGrid w:val="0"/>
          <w:color w:val="000000" w:themeColor="text1"/>
          <w:kern w:val="0"/>
          <w:szCs w:val="21"/>
          <w14:textFill>
            <w14:solidFill>
              <w14:schemeClr w14:val="tx1"/>
            </w14:solidFill>
          </w14:textFill>
        </w:rPr>
        <w:t>证明材料</w:t>
      </w:r>
      <w:r>
        <w:rPr>
          <w:rFonts w:hint="eastAsia"/>
          <w:bCs/>
          <w:color w:val="000000" w:themeColor="text1"/>
          <w:kern w:val="0"/>
          <w:szCs w:val="21"/>
          <w14:textFill>
            <w14:solidFill>
              <w14:schemeClr w14:val="tx1"/>
            </w14:solidFill>
          </w14:textFill>
        </w:rPr>
        <w:t>的扫描件信息应完整或能充分证明满足评审需要</w:t>
      </w:r>
      <w:r>
        <w:rPr>
          <w:rFonts w:hint="eastAsia"/>
          <w:bCs/>
          <w:snapToGrid w:val="0"/>
          <w:color w:val="000000" w:themeColor="text1"/>
          <w:kern w:val="0"/>
          <w:szCs w:val="21"/>
          <w14:textFill>
            <w14:solidFill>
              <w14:schemeClr w14:val="tx1"/>
            </w14:solidFill>
          </w14:textFill>
        </w:rPr>
        <w:t>。</w:t>
      </w:r>
    </w:p>
    <w:p>
      <w:pPr>
        <w:keepNext/>
        <w:keepLines/>
        <w:spacing w:before="260" w:after="260" w:line="416" w:lineRule="auto"/>
        <w:ind w:firstLine="628"/>
        <w:jc w:val="center"/>
        <w:outlineLvl w:val="1"/>
        <w:rPr>
          <w:rFonts w:ascii="黑体" w:hAnsi="黑体" w:eastAsia="黑体"/>
          <w:bCs/>
          <w:color w:val="000000" w:themeColor="text1"/>
          <w:sz w:val="32"/>
          <w:szCs w:val="32"/>
          <w14:textFill>
            <w14:solidFill>
              <w14:schemeClr w14:val="tx1"/>
            </w14:solidFill>
          </w14:textFill>
        </w:rPr>
      </w:pPr>
      <w:r>
        <w:rPr>
          <w:rFonts w:eastAsia="黑体"/>
          <w:b/>
          <w:color w:val="000000" w:themeColor="text1"/>
          <w:kern w:val="0"/>
          <w:sz w:val="32"/>
          <w:szCs w:val="21"/>
          <w14:textFill>
            <w14:solidFill>
              <w14:schemeClr w14:val="tx1"/>
            </w14:solidFill>
          </w14:textFill>
        </w:rPr>
        <w:br w:type="page"/>
      </w:r>
      <w:bookmarkStart w:id="33" w:name="_Toc460226722"/>
      <w:bookmarkStart w:id="34" w:name="_Toc11078139"/>
      <w:bookmarkStart w:id="35" w:name="_Toc421916977"/>
      <w:bookmarkStart w:id="36" w:name="_Toc38879318"/>
      <w:bookmarkStart w:id="37" w:name="_Toc460660064"/>
      <w:bookmarkStart w:id="38" w:name="_Toc460226991"/>
      <w:bookmarkStart w:id="39" w:name="_Toc283798418"/>
      <w:bookmarkStart w:id="40" w:name="_Toc122103680"/>
      <w:r>
        <w:rPr>
          <w:rFonts w:hint="eastAsia" w:ascii="黑体" w:hAnsi="黑体" w:eastAsia="黑体"/>
          <w:bCs/>
          <w:color w:val="000000" w:themeColor="text1"/>
          <w:sz w:val="32"/>
          <w:szCs w:val="32"/>
          <w14:textFill>
            <w14:solidFill>
              <w14:schemeClr w14:val="tx1"/>
            </w14:solidFill>
          </w14:textFill>
        </w:rPr>
        <w:t>附录3  资格审查条件(业绩最低要求)</w:t>
      </w:r>
      <w:bookmarkEnd w:id="33"/>
      <w:bookmarkEnd w:id="34"/>
      <w:bookmarkEnd w:id="35"/>
      <w:bookmarkEnd w:id="36"/>
      <w:bookmarkEnd w:id="37"/>
      <w:bookmarkEnd w:id="38"/>
      <w:bookmarkEnd w:id="39"/>
      <w:bookmarkEnd w:id="40"/>
    </w:p>
    <w:tbl>
      <w:tblPr>
        <w:tblStyle w:val="6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6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投标人</w:t>
            </w:r>
            <w:r>
              <w:rPr>
                <w:rFonts w:hint="eastAsia" w:ascii="宋体" w:hAnsi="宋体"/>
                <w:b/>
                <w:bCs/>
                <w:color w:val="000000" w:themeColor="text1"/>
                <w:szCs w:val="21"/>
                <w14:textFill>
                  <w14:solidFill>
                    <w14:schemeClr w14:val="tx1"/>
                  </w14:solidFill>
                </w14:textFill>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1" w:hRule="atLeast"/>
          <w:jc w:val="center"/>
        </w:trPr>
        <w:tc>
          <w:tcPr>
            <w:tcW w:w="962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37"/>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业绩要求见招标公告要求。</w:t>
            </w:r>
          </w:p>
        </w:tc>
      </w:tr>
    </w:tbl>
    <w:p>
      <w:pPr>
        <w:adjustRightInd w:val="0"/>
        <w:snapToGrid w:val="0"/>
        <w:spacing w:line="400" w:lineRule="exact"/>
        <w:ind w:firstLine="420" w:firstLineChars="200"/>
        <w:rPr>
          <w:bCs/>
          <w:snapToGrid w:val="0"/>
          <w:color w:val="000000" w:themeColor="text1"/>
          <w:kern w:val="0"/>
          <w:szCs w:val="21"/>
          <w14:textFill>
            <w14:solidFill>
              <w14:schemeClr w14:val="tx1"/>
            </w14:solidFill>
          </w14:textFill>
        </w:rPr>
      </w:pPr>
      <w:r>
        <w:rPr>
          <w:rFonts w:hint="eastAsia"/>
          <w:bCs/>
          <w:snapToGrid w:val="0"/>
          <w:color w:val="000000" w:themeColor="text1"/>
          <w:kern w:val="0"/>
          <w:szCs w:val="21"/>
          <w14:textFill>
            <w14:solidFill>
              <w14:schemeClr w14:val="tx1"/>
            </w14:solidFill>
          </w14:textFill>
        </w:rPr>
        <w:t>注：</w:t>
      </w:r>
    </w:p>
    <w:p>
      <w:pPr>
        <w:spacing w:line="440" w:lineRule="exact"/>
        <w:ind w:firstLine="437"/>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1. 投标人应按下列规定提供业绩证明资料：</w:t>
      </w:r>
    </w:p>
    <w:p>
      <w:pPr>
        <w:spacing w:line="440" w:lineRule="exact"/>
        <w:ind w:firstLine="437"/>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（1）合同协议书。投标人所提供合同协议书应与监管部门备案的合同协议书（如有）保持一致，评标结束后若发现不一致的以备案合同协议书为准，并视同提供虚假材料。</w:t>
      </w:r>
    </w:p>
    <w:p>
      <w:pPr>
        <w:spacing w:line="440" w:lineRule="exact"/>
        <w:ind w:firstLine="437"/>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（2）竣工验收证明文件（</w:t>
      </w:r>
      <w:r>
        <w:rPr>
          <w:rFonts w:hint="eastAsia" w:ascii="宋体" w:hAnsi="宋体"/>
          <w:color w:val="000000" w:themeColor="text1"/>
          <w:szCs w:val="21"/>
          <w14:textFill>
            <w14:solidFill>
              <w14:schemeClr w14:val="tx1"/>
            </w14:solidFill>
          </w14:textFill>
        </w:rPr>
        <w:t>至少有建设单位、监理单位、施工单位三方参与竣工验收</w:t>
      </w:r>
      <w:r>
        <w:rPr>
          <w:rFonts w:hint="eastAsia"/>
          <w:bCs/>
          <w:color w:val="000000" w:themeColor="text1"/>
          <w:kern w:val="0"/>
          <w:szCs w:val="21"/>
          <w14:textFill>
            <w14:solidFill>
              <w14:schemeClr w14:val="tx1"/>
            </w14:solidFill>
          </w14:textFill>
        </w:rPr>
        <w:t>）。</w:t>
      </w:r>
    </w:p>
    <w:p>
      <w:pPr>
        <w:adjustRightInd w:val="0"/>
        <w:snapToGrid w:val="0"/>
        <w:spacing w:line="400" w:lineRule="exact"/>
        <w:ind w:firstLine="420" w:firstLineChars="200"/>
        <w:rPr>
          <w:bCs/>
          <w:snapToGrid w:val="0"/>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 xml:space="preserve">2. </w:t>
      </w:r>
      <w:r>
        <w:rPr>
          <w:rFonts w:hint="eastAsia"/>
          <w:bCs/>
          <w:snapToGrid w:val="0"/>
          <w:color w:val="000000" w:themeColor="text1"/>
          <w:kern w:val="0"/>
          <w:szCs w:val="21"/>
          <w14:textFill>
            <w14:solidFill>
              <w14:schemeClr w14:val="tx1"/>
            </w14:solidFill>
          </w14:textFill>
        </w:rPr>
        <w:t>业绩需在投标人类似业绩表中注明，以上涉及到的证明资料应完整或能充分反映评审因素。若提供的业绩材料中未能反映出评审所需指标，须另行提供项目建设单位（或项目行业主管部门）出具的证明材料，格式自拟。</w:t>
      </w:r>
    </w:p>
    <w:p>
      <w:pPr>
        <w:keepNext/>
        <w:keepLines/>
        <w:spacing w:before="260" w:after="260" w:line="416" w:lineRule="auto"/>
        <w:ind w:firstLine="628"/>
        <w:jc w:val="center"/>
        <w:outlineLvl w:val="1"/>
        <w:rPr>
          <w:rFonts w:ascii="黑体" w:hAnsi="黑体" w:eastAsia="黑体"/>
          <w:bCs/>
          <w:color w:val="000000" w:themeColor="text1"/>
          <w:sz w:val="32"/>
          <w:szCs w:val="32"/>
          <w14:textFill>
            <w14:solidFill>
              <w14:schemeClr w14:val="tx1"/>
            </w14:solidFill>
          </w14:textFill>
        </w:rPr>
      </w:pPr>
      <w:r>
        <w:rPr>
          <w:rFonts w:eastAsia="黑体"/>
          <w:bCs/>
          <w:snapToGrid w:val="0"/>
          <w:color w:val="000000" w:themeColor="text1"/>
          <w:kern w:val="0"/>
          <w:szCs w:val="21"/>
          <w14:textFill>
            <w14:solidFill>
              <w14:schemeClr w14:val="tx1"/>
            </w14:solidFill>
          </w14:textFill>
        </w:rPr>
        <w:br w:type="page"/>
      </w:r>
      <w:bookmarkStart w:id="41" w:name="_Toc122103681"/>
      <w:bookmarkStart w:id="42" w:name="_Toc38879319"/>
      <w:bookmarkStart w:id="43" w:name="_Toc11078140"/>
      <w:bookmarkStart w:id="44" w:name="_Toc460226992"/>
      <w:bookmarkStart w:id="45" w:name="_Toc421916978"/>
      <w:bookmarkStart w:id="46" w:name="_Toc460226723"/>
      <w:r>
        <w:rPr>
          <w:rFonts w:hint="eastAsia" w:ascii="黑体" w:hAnsi="黑体" w:eastAsia="黑体"/>
          <w:bCs/>
          <w:color w:val="000000" w:themeColor="text1"/>
          <w:sz w:val="32"/>
          <w:szCs w:val="32"/>
          <w14:textFill>
            <w14:solidFill>
              <w14:schemeClr w14:val="tx1"/>
            </w14:solidFill>
          </w14:textFill>
        </w:rPr>
        <w:t>附录4  资格审查条件(信誉最低要求)</w:t>
      </w:r>
      <w:bookmarkEnd w:id="41"/>
      <w:bookmarkEnd w:id="42"/>
      <w:bookmarkEnd w:id="43"/>
    </w:p>
    <w:tbl>
      <w:tblPr>
        <w:tblStyle w:val="6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6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0" w:hRule="atLeast"/>
          <w:jc w:val="center"/>
        </w:trPr>
        <w:tc>
          <w:tcPr>
            <w:tcW w:w="962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信誉要求见招标公告要求。</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p>
            <w:pPr>
              <w:spacing w:line="360" w:lineRule="auto"/>
              <w:rPr>
                <w:bCs/>
                <w:color w:val="000000" w:themeColor="text1"/>
                <w:szCs w:val="21"/>
                <w14:textFill>
                  <w14:solidFill>
                    <w14:schemeClr w14:val="tx1"/>
                  </w14:solidFill>
                </w14:textFill>
              </w:rPr>
            </w:pPr>
          </w:p>
        </w:tc>
      </w:tr>
    </w:tbl>
    <w:p>
      <w:pPr>
        <w:keepNext/>
        <w:keepLines/>
        <w:spacing w:before="260" w:after="260" w:line="416" w:lineRule="auto"/>
        <w:ind w:firstLine="628"/>
        <w:jc w:val="center"/>
        <w:outlineLvl w:val="1"/>
        <w:rPr>
          <w:rFonts w:ascii="黑体" w:hAnsi="黑体" w:eastAsia="黑体"/>
          <w:bCs/>
          <w:color w:val="000000" w:themeColor="text1"/>
          <w:sz w:val="32"/>
          <w:szCs w:val="32"/>
          <w14:textFill>
            <w14:solidFill>
              <w14:schemeClr w14:val="tx1"/>
            </w14:solidFill>
          </w14:textFill>
        </w:rPr>
      </w:pPr>
      <w:r>
        <w:rPr>
          <w:rFonts w:ascii="Arial" w:hAnsi="Arial" w:eastAsia="黑体"/>
          <w:b/>
          <w:bCs/>
          <w:color w:val="000000" w:themeColor="text1"/>
          <w:kern w:val="0"/>
          <w:sz w:val="32"/>
          <w:szCs w:val="21"/>
          <w14:textFill>
            <w14:solidFill>
              <w14:schemeClr w14:val="tx1"/>
            </w14:solidFill>
          </w14:textFill>
        </w:rPr>
        <w:br w:type="page"/>
      </w:r>
      <w:bookmarkStart w:id="47" w:name="_Toc122103682"/>
      <w:bookmarkStart w:id="48" w:name="_Toc11078141"/>
      <w:bookmarkStart w:id="49" w:name="_Toc38879320"/>
      <w:bookmarkStart w:id="50" w:name="_Toc460660065"/>
      <w:r>
        <w:rPr>
          <w:rFonts w:hint="eastAsia" w:ascii="黑体" w:hAnsi="黑体" w:eastAsia="黑体"/>
          <w:bCs/>
          <w:color w:val="000000" w:themeColor="text1"/>
          <w:sz w:val="32"/>
          <w:szCs w:val="32"/>
          <w14:textFill>
            <w14:solidFill>
              <w14:schemeClr w14:val="tx1"/>
            </w14:solidFill>
          </w14:textFill>
        </w:rPr>
        <w:t>附录5  资格审查条件（项目经理最低要求）</w:t>
      </w:r>
      <w:bookmarkEnd w:id="44"/>
      <w:bookmarkEnd w:id="45"/>
      <w:bookmarkEnd w:id="46"/>
      <w:bookmarkEnd w:id="47"/>
      <w:bookmarkEnd w:id="48"/>
      <w:bookmarkEnd w:id="49"/>
      <w:bookmarkEnd w:id="50"/>
    </w:p>
    <w:tbl>
      <w:tblPr>
        <w:tblStyle w:val="67"/>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7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人</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员</w:t>
            </w:r>
          </w:p>
        </w:tc>
        <w:tc>
          <w:tcPr>
            <w:tcW w:w="70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Cs/>
                <w:color w:val="000000" w:themeColor="text1"/>
                <w:kern w:val="0"/>
                <w:szCs w:val="21"/>
                <w14:textFill>
                  <w14:solidFill>
                    <w14:schemeClr w14:val="tx1"/>
                  </w14:solidFill>
                </w14:textFill>
              </w:rPr>
            </w:pPr>
            <w:r>
              <w:rPr>
                <w:rFonts w:hint="eastAsia" w:cs="楷体"/>
                <w:bCs/>
                <w:snapToGrid w:val="0"/>
                <w:color w:val="000000" w:themeColor="text1"/>
                <w:kern w:val="0"/>
                <w:szCs w:val="21"/>
                <w14:textFill>
                  <w14:solidFill>
                    <w14:schemeClr w14:val="tx1"/>
                  </w14:solidFill>
                </w14:textFill>
              </w:rPr>
              <w:t>项目经理</w:t>
            </w:r>
          </w:p>
        </w:tc>
        <w:tc>
          <w:tcPr>
            <w:tcW w:w="70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cs="楷体"/>
                <w:bCs/>
                <w:snapToGrid w:val="0"/>
                <w:color w:val="000000" w:themeColor="text1"/>
                <w:kern w:val="0"/>
                <w:szCs w:val="21"/>
                <w14:textFill>
                  <w14:solidFill>
                    <w14:schemeClr w14:val="tx1"/>
                  </w14:solidFill>
                </w14:textFill>
              </w:rPr>
            </w:pPr>
            <w:r>
              <w:rPr>
                <w:rFonts w:hint="eastAsia" w:cs="楷体"/>
                <w:bCs/>
                <w:snapToGrid w:val="0"/>
                <w:color w:val="000000" w:themeColor="text1"/>
                <w:kern w:val="0"/>
                <w:szCs w:val="21"/>
                <w14:textFill>
                  <w14:solidFill>
                    <w14:schemeClr w14:val="tx1"/>
                  </w14:solidFill>
                </w14:textFill>
              </w:rPr>
              <w:t>（1）项目经理资格条件见招标公告要求，且必须是本单位人员（注册证书注册单位应当与投标人名称一致，提供投标人所属社保机构出具的拟委任的项目经理</w:t>
            </w:r>
            <w:r>
              <w:rPr>
                <w:rFonts w:hint="eastAsia" w:cs="楷体"/>
                <w:bCs/>
                <w:snapToGrid w:val="0"/>
                <w:color w:val="000000" w:themeColor="text1"/>
                <w:kern w:val="0"/>
                <w:szCs w:val="21"/>
                <w:u w:val="single"/>
                <w14:textFill>
                  <w14:solidFill>
                    <w14:schemeClr w14:val="tx1"/>
                  </w14:solidFill>
                </w14:textFill>
              </w:rPr>
              <w:t xml:space="preserve"> </w:t>
            </w:r>
            <w:r>
              <w:rPr>
                <w:rFonts w:hint="eastAsia" w:cs="楷体"/>
                <w:b/>
                <w:snapToGrid w:val="0"/>
                <w:color w:val="000000" w:themeColor="text1"/>
                <w:kern w:val="0"/>
                <w:szCs w:val="21"/>
                <w:u w:val="single"/>
                <w14:textFill>
                  <w14:solidFill>
                    <w14:schemeClr w14:val="tx1"/>
                  </w14:solidFill>
                </w14:textFill>
              </w:rPr>
              <w:t xml:space="preserve">近六个月内连续三个月 </w:t>
            </w:r>
            <w:r>
              <w:rPr>
                <w:rFonts w:hint="eastAsia" w:cs="楷体"/>
                <w:bCs/>
                <w:snapToGrid w:val="0"/>
                <w:color w:val="000000" w:themeColor="text1"/>
                <w:kern w:val="0"/>
                <w:szCs w:val="21"/>
                <w14:textFill>
                  <w14:solidFill>
                    <w14:schemeClr w14:val="tx1"/>
                  </w14:solidFill>
                </w14:textFill>
              </w:rPr>
              <w:t>（社保时间要求）社保缴费证明或其他能够证明拟委任的项目经理参加社保的有效证明材料，项目经理的社会保险的缴纳单位应当是投标人或者投标人不具备独立法人资格的分支机构）。</w:t>
            </w:r>
          </w:p>
          <w:p>
            <w:pPr>
              <w:widowControl/>
              <w:spacing w:line="360" w:lineRule="auto"/>
              <w:jc w:val="left"/>
              <w:rPr>
                <w:rFonts w:cs="楷体"/>
                <w:bCs/>
                <w:snapToGrid w:val="0"/>
                <w:color w:val="000000" w:themeColor="text1"/>
                <w:kern w:val="0"/>
                <w:szCs w:val="21"/>
                <w14:textFill>
                  <w14:solidFill>
                    <w14:schemeClr w14:val="tx1"/>
                  </w14:solidFill>
                </w14:textFill>
              </w:rPr>
            </w:pPr>
            <w:r>
              <w:rPr>
                <w:rFonts w:cs="楷体"/>
                <w:bCs/>
                <w:snapToGrid w:val="0"/>
                <w:color w:val="000000" w:themeColor="text1"/>
                <w:kern w:val="0"/>
                <w:szCs w:val="21"/>
                <w14:textFill>
                  <w14:solidFill>
                    <w14:schemeClr w14:val="tx1"/>
                  </w14:solidFill>
                </w14:textFill>
              </w:rPr>
              <w:t>（</w:t>
            </w:r>
            <w:r>
              <w:rPr>
                <w:rFonts w:hint="eastAsia" w:cs="楷体"/>
                <w:bCs/>
                <w:snapToGrid w:val="0"/>
                <w:color w:val="000000" w:themeColor="text1"/>
                <w:kern w:val="0"/>
                <w:szCs w:val="21"/>
                <w14:textFill>
                  <w14:solidFill>
                    <w14:schemeClr w14:val="tx1"/>
                  </w14:solidFill>
                </w14:textFill>
              </w:rPr>
              <w:t>2</w:t>
            </w:r>
            <w:r>
              <w:rPr>
                <w:rFonts w:cs="楷体"/>
                <w:bCs/>
                <w:snapToGrid w:val="0"/>
                <w:color w:val="000000" w:themeColor="text1"/>
                <w:kern w:val="0"/>
                <w:szCs w:val="21"/>
                <w14:textFill>
                  <w14:solidFill>
                    <w14:schemeClr w14:val="tx1"/>
                  </w14:solidFill>
                </w14:textFill>
              </w:rPr>
              <w:t>）</w:t>
            </w:r>
            <w:r>
              <w:rPr>
                <w:rFonts w:hint="eastAsia" w:cs="楷体"/>
                <w:bCs/>
                <w:snapToGrid w:val="0"/>
                <w:color w:val="000000" w:themeColor="text1"/>
                <w:kern w:val="0"/>
                <w:szCs w:val="21"/>
                <w14:textFill>
                  <w14:solidFill>
                    <w14:schemeClr w14:val="tx1"/>
                  </w14:solidFill>
                </w14:textFill>
              </w:rPr>
              <w:t>项目经理不得同时担任两个及以上建设工程施工项目负责人，以下情形除外：</w:t>
            </w:r>
          </w:p>
          <w:p>
            <w:pPr>
              <w:widowControl/>
              <w:spacing w:line="360" w:lineRule="auto"/>
              <w:jc w:val="left"/>
              <w:rPr>
                <w:rFonts w:cs="楷体"/>
                <w:bCs/>
                <w:snapToGrid w:val="0"/>
                <w:color w:val="000000" w:themeColor="text1"/>
                <w:kern w:val="0"/>
                <w:szCs w:val="21"/>
                <w14:textFill>
                  <w14:solidFill>
                    <w14:schemeClr w14:val="tx1"/>
                  </w14:solidFill>
                </w14:textFill>
              </w:rPr>
            </w:pPr>
            <w:r>
              <w:rPr>
                <w:rFonts w:hint="eastAsia" w:cs="楷体"/>
                <w:bCs/>
                <w:snapToGrid w:val="0"/>
                <w:color w:val="000000" w:themeColor="text1"/>
                <w:kern w:val="0"/>
                <w:szCs w:val="21"/>
                <w14:textFill>
                  <w14:solidFill>
                    <w14:schemeClr w14:val="tx1"/>
                  </w14:solidFill>
                </w14:textFill>
              </w:rPr>
              <w:t>①法定情形；</w:t>
            </w:r>
          </w:p>
          <w:p>
            <w:pPr>
              <w:widowControl/>
              <w:spacing w:line="360" w:lineRule="auto"/>
              <w:jc w:val="left"/>
              <w:rPr>
                <w:rFonts w:cs="楷体"/>
                <w:bCs/>
                <w:snapToGrid w:val="0"/>
                <w:color w:val="000000" w:themeColor="text1"/>
                <w:kern w:val="0"/>
                <w:szCs w:val="21"/>
                <w14:textFill>
                  <w14:solidFill>
                    <w14:schemeClr w14:val="tx1"/>
                  </w14:solidFill>
                </w14:textFill>
              </w:rPr>
            </w:pPr>
            <w:r>
              <w:rPr>
                <w:rFonts w:hint="eastAsia" w:cs="楷体"/>
                <w:bCs/>
                <w:snapToGrid w:val="0"/>
                <w:color w:val="000000" w:themeColor="text1"/>
                <w:kern w:val="0"/>
                <w:szCs w:val="21"/>
                <w14:textFill>
                  <w14:solidFill>
                    <w14:schemeClr w14:val="tx1"/>
                  </w14:solidFill>
                </w14:textFill>
              </w:rPr>
              <w:t>②虽在其他项目上担任项目经理岗位，但承诺在本项目中标后合同签订前能够从其他项目变更至本项目并全面履约。</w:t>
            </w:r>
          </w:p>
        </w:tc>
      </w:tr>
    </w:tbl>
    <w:p>
      <w:pPr>
        <w:adjustRightInd w:val="0"/>
        <w:snapToGrid w:val="0"/>
        <w:spacing w:line="400" w:lineRule="exact"/>
        <w:ind w:firstLine="437"/>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注：</w:t>
      </w:r>
    </w:p>
    <w:p>
      <w:pPr>
        <w:spacing w:line="440" w:lineRule="exact"/>
        <w:ind w:firstLine="437"/>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1. 投标人应按下列规定提供业绩证明资料：</w:t>
      </w:r>
    </w:p>
    <w:p>
      <w:pPr>
        <w:spacing w:line="440" w:lineRule="exact"/>
        <w:ind w:firstLine="437"/>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（1）合同协议书。投标人所提供合同协议书应与监管部门备案的合同协议书（如有）保持一致，评标结束后若发现不一致的以备案合同协议书为准，并视同提供虚假材料。</w:t>
      </w:r>
    </w:p>
    <w:p>
      <w:pPr>
        <w:spacing w:line="440" w:lineRule="exact"/>
        <w:ind w:firstLine="437"/>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（2）竣工验收证明文件（</w:t>
      </w:r>
      <w:r>
        <w:rPr>
          <w:rFonts w:hint="eastAsia" w:ascii="宋体" w:hAnsi="宋体"/>
          <w:color w:val="000000" w:themeColor="text1"/>
          <w:szCs w:val="21"/>
          <w14:textFill>
            <w14:solidFill>
              <w14:schemeClr w14:val="tx1"/>
            </w14:solidFill>
          </w14:textFill>
        </w:rPr>
        <w:t>至少有建设单位、监理单位、施工单位三方参与竣工验收</w:t>
      </w:r>
      <w:r>
        <w:rPr>
          <w:rFonts w:hint="eastAsia"/>
          <w:bCs/>
          <w:color w:val="000000" w:themeColor="text1"/>
          <w:kern w:val="0"/>
          <w:szCs w:val="21"/>
          <w14:textFill>
            <w14:solidFill>
              <w14:schemeClr w14:val="tx1"/>
            </w14:solidFill>
          </w14:textFill>
        </w:rPr>
        <w:t>）。</w:t>
      </w:r>
    </w:p>
    <w:p>
      <w:pPr>
        <w:adjustRightInd w:val="0"/>
        <w:snapToGrid w:val="0"/>
        <w:spacing w:line="400" w:lineRule="exact"/>
        <w:ind w:firstLine="420" w:firstLineChars="200"/>
        <w:rPr>
          <w:bCs/>
          <w:snapToGrid w:val="0"/>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 xml:space="preserve">2. </w:t>
      </w:r>
      <w:r>
        <w:rPr>
          <w:rFonts w:hint="eastAsia"/>
          <w:bCs/>
          <w:snapToGrid w:val="0"/>
          <w:color w:val="000000" w:themeColor="text1"/>
          <w:kern w:val="0"/>
          <w:szCs w:val="21"/>
          <w14:textFill>
            <w14:solidFill>
              <w14:schemeClr w14:val="tx1"/>
            </w14:solidFill>
          </w14:textFill>
        </w:rPr>
        <w:t>业绩需在投标人类似业绩表中注明，以上涉及到的证明资料应完整或能充分反映评审因素。若提供的业绩材料中未能反映出评审所需指标，须另行提供项目建设单位（或项目行业主管部门）出具的证明材料，格式自拟</w:t>
      </w:r>
    </w:p>
    <w:p>
      <w:pPr>
        <w:keepNext/>
        <w:keepLines/>
        <w:spacing w:before="260" w:after="260" w:line="416" w:lineRule="auto"/>
        <w:ind w:firstLine="628"/>
        <w:jc w:val="center"/>
        <w:outlineLvl w:val="1"/>
        <w:rPr>
          <w:rFonts w:ascii="黑体" w:hAnsi="黑体" w:eastAsia="黑体"/>
          <w:bCs/>
          <w:color w:val="000000" w:themeColor="text1"/>
          <w:sz w:val="32"/>
          <w:szCs w:val="32"/>
          <w14:textFill>
            <w14:solidFill>
              <w14:schemeClr w14:val="tx1"/>
            </w14:solidFill>
          </w14:textFill>
        </w:rPr>
      </w:pPr>
      <w:r>
        <w:rPr>
          <w:rFonts w:eastAsia="黑体"/>
          <w:b/>
          <w:bCs/>
          <w:color w:val="000000" w:themeColor="text1"/>
          <w:sz w:val="32"/>
          <w:szCs w:val="21"/>
          <w14:textFill>
            <w14:solidFill>
              <w14:schemeClr w14:val="tx1"/>
            </w14:solidFill>
          </w14:textFill>
        </w:rPr>
        <w:br w:type="page"/>
      </w:r>
      <w:bookmarkStart w:id="51" w:name="_Toc460226993"/>
      <w:bookmarkStart w:id="52" w:name="_Toc460660066"/>
      <w:bookmarkStart w:id="53" w:name="_Toc421916979"/>
      <w:bookmarkStart w:id="54" w:name="_Toc460226724"/>
      <w:bookmarkStart w:id="55" w:name="_Toc122103683"/>
      <w:bookmarkStart w:id="56" w:name="_Toc11078142"/>
      <w:bookmarkStart w:id="57" w:name="_Toc38879321"/>
      <w:r>
        <w:rPr>
          <w:rFonts w:hint="eastAsia" w:ascii="黑体" w:hAnsi="黑体" w:eastAsia="黑体"/>
          <w:bCs/>
          <w:color w:val="000000" w:themeColor="text1"/>
          <w:sz w:val="32"/>
          <w:szCs w:val="32"/>
          <w14:textFill>
            <w14:solidFill>
              <w14:schemeClr w14:val="tx1"/>
            </w14:solidFill>
          </w14:textFill>
        </w:rPr>
        <w:t xml:space="preserve">附录6  </w:t>
      </w:r>
      <w:bookmarkEnd w:id="51"/>
      <w:bookmarkEnd w:id="52"/>
      <w:bookmarkEnd w:id="53"/>
      <w:bookmarkEnd w:id="54"/>
      <w:r>
        <w:rPr>
          <w:rFonts w:hint="eastAsia" w:ascii="黑体" w:hAnsi="黑体" w:eastAsia="黑体"/>
          <w:bCs/>
          <w:color w:val="000000" w:themeColor="text1"/>
          <w:sz w:val="32"/>
          <w:szCs w:val="32"/>
          <w14:textFill>
            <w14:solidFill>
              <w14:schemeClr w14:val="tx1"/>
            </w14:solidFill>
          </w14:textFill>
        </w:rPr>
        <w:t>资格审查条件（其他管理人员和技术人员最低要求）</w:t>
      </w:r>
      <w:bookmarkEnd w:id="55"/>
      <w:bookmarkEnd w:id="56"/>
      <w:bookmarkEnd w:id="57"/>
    </w:p>
    <w:p>
      <w:pPr>
        <w:jc w:val="center"/>
        <w:rPr>
          <w:color w:val="000000" w:themeColor="text1"/>
          <w:sz w:val="28"/>
          <w:szCs w:val="28"/>
          <w:lang w:val="zh-CN"/>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附表1资格审查评审条件(主要管理人员最低要求)</w:t>
      </w:r>
    </w:p>
    <w:tbl>
      <w:tblPr>
        <w:tblStyle w:val="67"/>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1169"/>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人员岗位</w:t>
            </w:r>
          </w:p>
        </w:tc>
        <w:tc>
          <w:tcPr>
            <w:tcW w:w="11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数</w:t>
            </w:r>
            <w:r>
              <w:rPr>
                <w:rFonts w:ascii="宋体" w:hAnsi="宋体"/>
                <w:b/>
                <w:color w:val="000000" w:themeColor="text1"/>
                <w:kern w:val="0"/>
                <w:szCs w:val="21"/>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量</w:t>
            </w:r>
          </w:p>
        </w:tc>
        <w:tc>
          <w:tcPr>
            <w:tcW w:w="62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资历要求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项目技术负责人</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楷体" w:hAnsi="楷体" w:eastAsia="楷体"/>
                <w:bCs/>
                <w:color w:val="000000" w:themeColor="text1"/>
                <w:szCs w:val="21"/>
                <w14:textFill>
                  <w14:solidFill>
                    <w14:schemeClr w14:val="tx1"/>
                  </w14:solidFill>
                </w14:textFill>
              </w:rPr>
            </w:pPr>
            <w:r>
              <w:rPr>
                <w:rFonts w:hint="eastAsia" w:ascii="楷体" w:hAnsi="楷体" w:eastAsia="楷体"/>
                <w:bCs/>
                <w:color w:val="000000" w:themeColor="text1"/>
                <w:szCs w:val="21"/>
                <w14:textFill>
                  <w14:solidFill>
                    <w14:schemeClr w14:val="tx1"/>
                  </w14:solidFill>
                </w14:textFill>
              </w:rPr>
              <w:t>1</w:t>
            </w:r>
          </w:p>
        </w:tc>
        <w:tc>
          <w:tcPr>
            <w:tcW w:w="6254" w:type="dxa"/>
            <w:tcBorders>
              <w:top w:val="single" w:color="auto" w:sz="4" w:space="0"/>
              <w:left w:val="single" w:color="auto" w:sz="4" w:space="0"/>
              <w:bottom w:val="single" w:color="auto" w:sz="4" w:space="0"/>
              <w:right w:val="single" w:color="auto" w:sz="4" w:space="0"/>
            </w:tcBorders>
            <w:vAlign w:val="center"/>
          </w:tcPr>
          <w:p>
            <w:pPr>
              <w:spacing w:line="360" w:lineRule="auto"/>
              <w:rPr>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 xml:space="preserve">技术职称为 </w:t>
            </w:r>
            <w:r>
              <w:rPr>
                <w:rFonts w:hint="eastAsia"/>
                <w:bCs/>
                <w:color w:val="000000" w:themeColor="text1"/>
                <w:kern w:val="0"/>
                <w:szCs w:val="21"/>
                <w:u w:val="single"/>
                <w14:textFill>
                  <w14:solidFill>
                    <w14:schemeClr w14:val="tx1"/>
                  </w14:solidFill>
                </w14:textFill>
              </w:rPr>
              <w:t>相关</w:t>
            </w:r>
            <w:r>
              <w:rPr>
                <w:rFonts w:hint="eastAsia"/>
                <w:bCs/>
                <w:color w:val="000000" w:themeColor="text1"/>
                <w:kern w:val="0"/>
                <w:szCs w:val="21"/>
                <w14:textFill>
                  <w14:solidFill>
                    <w14:schemeClr w14:val="tx1"/>
                  </w14:solidFill>
                </w14:textFill>
              </w:rPr>
              <w:t>_专业</w:t>
            </w:r>
            <w:r>
              <w:rPr>
                <w:rFonts w:hint="eastAsia"/>
                <w:bCs/>
                <w:color w:val="000000" w:themeColor="text1"/>
                <w:kern w:val="0"/>
                <w:szCs w:val="21"/>
                <w:u w:val="single"/>
                <w14:textFill>
                  <w14:solidFill>
                    <w14:schemeClr w14:val="tx1"/>
                  </w14:solidFill>
                </w14:textFill>
              </w:rPr>
              <w:t>中级及</w:t>
            </w:r>
            <w:r>
              <w:rPr>
                <w:rFonts w:hint="eastAsia"/>
                <w:bCs/>
                <w:color w:val="000000" w:themeColor="text1"/>
                <w:kern w:val="0"/>
                <w:szCs w:val="21"/>
                <w14:textFill>
                  <w14:solidFill>
                    <w14:schemeClr w14:val="tx1"/>
                  </w14:solidFill>
                </w14:textFill>
              </w:rPr>
              <w:t>以上。</w:t>
            </w:r>
          </w:p>
        </w:tc>
      </w:tr>
    </w:tbl>
    <w:p>
      <w:pPr>
        <w:adjustRightInd w:val="0"/>
        <w:snapToGrid w:val="0"/>
        <w:spacing w:line="400" w:lineRule="exact"/>
        <w:jc w:val="left"/>
        <w:rPr>
          <w:rFonts w:ascii="楷体" w:hAnsi="楷体" w:eastAsia="楷体"/>
          <w:bCs/>
          <w:snapToGrid w:val="0"/>
          <w:color w:val="000000" w:themeColor="text1"/>
          <w:kern w:val="0"/>
          <w:szCs w:val="21"/>
          <w14:textFill>
            <w14:solidFill>
              <w14:schemeClr w14:val="tx1"/>
            </w14:solidFill>
          </w14:textFill>
        </w:rPr>
      </w:pPr>
      <w:r>
        <w:rPr>
          <w:rFonts w:hint="eastAsia"/>
          <w:bCs/>
          <w:snapToGrid w:val="0"/>
          <w:color w:val="000000" w:themeColor="text1"/>
          <w:kern w:val="0"/>
          <w:szCs w:val="21"/>
          <w14:textFill>
            <w14:solidFill>
              <w14:schemeClr w14:val="tx1"/>
            </w14:solidFill>
          </w14:textFill>
        </w:rPr>
        <w:t>注：投标人应提供项目技术负责人的注册建造师证书（如要求）、安全生产考核合格证书（如要求）、职称证书。</w:t>
      </w:r>
    </w:p>
    <w:p>
      <w:pPr>
        <w:adjustRightInd w:val="0"/>
        <w:snapToGrid w:val="0"/>
        <w:spacing w:line="400" w:lineRule="exact"/>
        <w:jc w:val="left"/>
        <w:rPr>
          <w:rFonts w:ascii="黑体" w:hAnsi="Calibri" w:eastAsia="黑体"/>
          <w:color w:val="000000" w:themeColor="text1"/>
          <w:sz w:val="24"/>
          <w14:textFill>
            <w14:solidFill>
              <w14:schemeClr w14:val="tx1"/>
            </w14:solidFill>
          </w14:textFill>
        </w:rPr>
      </w:pPr>
    </w:p>
    <w:p>
      <w:pPr>
        <w:adjustRightInd w:val="0"/>
        <w:snapToGrid w:val="0"/>
        <w:spacing w:line="400" w:lineRule="exact"/>
        <w:jc w:val="left"/>
        <w:rPr>
          <w:rFonts w:ascii="黑体" w:hAnsi="Calibri" w:eastAsia="黑体"/>
          <w:color w:val="000000" w:themeColor="text1"/>
          <w:sz w:val="24"/>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附表2中标后配备其他主要管理人员和技术人员最低要求</w:t>
      </w:r>
    </w:p>
    <w:tbl>
      <w:tblPr>
        <w:tblStyle w:val="67"/>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1169"/>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人员岗位</w:t>
            </w:r>
          </w:p>
        </w:tc>
        <w:tc>
          <w:tcPr>
            <w:tcW w:w="11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数</w:t>
            </w:r>
            <w:r>
              <w:rPr>
                <w:rFonts w:ascii="宋体" w:hAnsi="宋体"/>
                <w:b/>
                <w:color w:val="000000" w:themeColor="text1"/>
                <w:kern w:val="0"/>
                <w:szCs w:val="21"/>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量</w:t>
            </w:r>
          </w:p>
        </w:tc>
        <w:tc>
          <w:tcPr>
            <w:tcW w:w="62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施工员</w:t>
            </w:r>
          </w:p>
        </w:tc>
        <w:tc>
          <w:tcPr>
            <w:tcW w:w="11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w:t>
            </w:r>
          </w:p>
        </w:tc>
        <w:tc>
          <w:tcPr>
            <w:tcW w:w="6254" w:type="dxa"/>
            <w:vMerge w:val="restart"/>
            <w:tcBorders>
              <w:top w:val="single" w:color="auto" w:sz="4" w:space="0"/>
              <w:left w:val="single" w:color="auto" w:sz="4" w:space="0"/>
              <w:right w:val="single" w:color="auto" w:sz="4" w:space="0"/>
            </w:tcBorders>
          </w:tcPr>
          <w:p>
            <w:pPr>
              <w:spacing w:line="360" w:lineRule="auto"/>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中标人和招标人在签订合同时应按照不低于本表人员配置的要求填写承包人主要施工管理人员表，并作为合同的附件之一。</w:t>
            </w:r>
          </w:p>
          <w:p>
            <w:pPr>
              <w:spacing w:line="360" w:lineRule="auto"/>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备注：1、人员要求为投标人中标后为本项目配备的其他主要管理人员和技术人员最低要求，投标时无需体现，且都不得兼任。</w:t>
            </w:r>
          </w:p>
          <w:p>
            <w:pPr>
              <w:spacing w:line="360" w:lineRule="auto"/>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2、项目中标后，施工现场主要管理人员和技术人员如需增加，应按照省、市相关规定及业主方要求执行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质量员/质检员</w:t>
            </w:r>
          </w:p>
        </w:tc>
        <w:tc>
          <w:tcPr>
            <w:tcW w:w="11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w:t>
            </w:r>
          </w:p>
        </w:tc>
        <w:tc>
          <w:tcPr>
            <w:tcW w:w="6254" w:type="dxa"/>
            <w:vMerge w:val="continue"/>
            <w:tcBorders>
              <w:left w:val="single" w:color="auto" w:sz="4" w:space="0"/>
              <w:right w:val="single" w:color="auto" w:sz="4" w:space="0"/>
            </w:tcBorders>
            <w:vAlign w:val="center"/>
          </w:tcPr>
          <w:p>
            <w:pPr>
              <w:spacing w:line="360" w:lineRule="auto"/>
              <w:rPr>
                <w:rFonts w:ascii="宋体" w:hAnsi="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安全员</w:t>
            </w:r>
          </w:p>
        </w:tc>
        <w:tc>
          <w:tcPr>
            <w:tcW w:w="11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w:t>
            </w:r>
          </w:p>
        </w:tc>
        <w:tc>
          <w:tcPr>
            <w:tcW w:w="6254" w:type="dxa"/>
            <w:vMerge w:val="continue"/>
            <w:tcBorders>
              <w:left w:val="single" w:color="auto" w:sz="4" w:space="0"/>
              <w:right w:val="single" w:color="auto" w:sz="4" w:space="0"/>
            </w:tcBorders>
            <w:vAlign w:val="center"/>
          </w:tcPr>
          <w:p>
            <w:pPr>
              <w:spacing w:line="360" w:lineRule="auto"/>
              <w:rPr>
                <w:rFonts w:ascii="宋体" w:hAnsi="宋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资料员</w:t>
            </w:r>
          </w:p>
        </w:tc>
        <w:tc>
          <w:tcPr>
            <w:tcW w:w="11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w:t>
            </w:r>
          </w:p>
        </w:tc>
        <w:tc>
          <w:tcPr>
            <w:tcW w:w="6254" w:type="dxa"/>
            <w:vMerge w:val="continue"/>
            <w:tcBorders>
              <w:left w:val="single" w:color="auto" w:sz="4" w:space="0"/>
              <w:right w:val="single" w:color="auto" w:sz="4" w:space="0"/>
            </w:tcBorders>
            <w:vAlign w:val="center"/>
          </w:tcPr>
          <w:p>
            <w:pPr>
              <w:spacing w:line="360" w:lineRule="auto"/>
              <w:rPr>
                <w:rFonts w:ascii="宋体" w:hAnsi="宋体" w:cs="宋体"/>
                <w:bCs/>
                <w:color w:val="000000" w:themeColor="text1"/>
                <w:kern w:val="0"/>
                <w:szCs w:val="21"/>
                <w14:textFill>
                  <w14:solidFill>
                    <w14:schemeClr w14:val="tx1"/>
                  </w14:solidFill>
                </w14:textFill>
              </w:rPr>
            </w:pPr>
          </w:p>
        </w:tc>
      </w:tr>
    </w:tbl>
    <w:p>
      <w:pPr>
        <w:spacing w:line="360" w:lineRule="auto"/>
        <w:ind w:firstLine="426" w:firstLineChars="202"/>
        <w:rPr>
          <w:rFonts w:ascii="宋体" w:hAnsi="宋体"/>
          <w:b/>
          <w:color w:val="000000" w:themeColor="text1"/>
          <w:kern w:val="0"/>
          <w:szCs w:val="21"/>
          <w14:textFill>
            <w14:solidFill>
              <w14:schemeClr w14:val="tx1"/>
            </w14:solidFill>
          </w14:textFill>
        </w:rPr>
      </w:pPr>
    </w:p>
    <w:p>
      <w:pPr>
        <w:adjustRightInd w:val="0"/>
        <w:snapToGrid w:val="0"/>
        <w:spacing w:line="400" w:lineRule="exact"/>
        <w:jc w:val="left"/>
        <w:rPr>
          <w:bCs/>
          <w:snapToGrid w:val="0"/>
          <w:color w:val="000000" w:themeColor="text1"/>
          <w:kern w:val="0"/>
          <w:szCs w:val="21"/>
          <w14:textFill>
            <w14:solidFill>
              <w14:schemeClr w14:val="tx1"/>
            </w14:solidFill>
          </w14:textFill>
        </w:rPr>
      </w:pPr>
    </w:p>
    <w:p>
      <w:pPr>
        <w:adjustRightInd w:val="0"/>
        <w:snapToGrid w:val="0"/>
        <w:spacing w:line="400" w:lineRule="exact"/>
        <w:jc w:val="left"/>
        <w:rPr>
          <w:bCs/>
          <w:snapToGrid w:val="0"/>
          <w:color w:val="000000" w:themeColor="text1"/>
          <w:kern w:val="0"/>
          <w:szCs w:val="21"/>
          <w14:textFill>
            <w14:solidFill>
              <w14:schemeClr w14:val="tx1"/>
            </w14:solidFill>
          </w14:textFill>
        </w:rPr>
      </w:pPr>
    </w:p>
    <w:p>
      <w:pPr>
        <w:adjustRightInd w:val="0"/>
        <w:snapToGrid w:val="0"/>
        <w:spacing w:line="400" w:lineRule="exact"/>
        <w:jc w:val="left"/>
        <w:rPr>
          <w:bCs/>
          <w:snapToGrid w:val="0"/>
          <w:color w:val="000000" w:themeColor="text1"/>
          <w:kern w:val="0"/>
          <w:szCs w:val="21"/>
          <w14:textFill>
            <w14:solidFill>
              <w14:schemeClr w14:val="tx1"/>
            </w14:solidFill>
          </w14:textFill>
        </w:rPr>
      </w:pPr>
    </w:p>
    <w:p>
      <w:pPr>
        <w:rPr>
          <w:bCs/>
          <w:snapToGrid w:val="0"/>
          <w:color w:val="000000" w:themeColor="text1"/>
          <w:kern w:val="0"/>
          <w:szCs w:val="21"/>
          <w14:textFill>
            <w14:solidFill>
              <w14:schemeClr w14:val="tx1"/>
            </w14:solidFill>
          </w14:textFill>
        </w:rPr>
      </w:pPr>
    </w:p>
    <w:p>
      <w:pPr>
        <w:rPr>
          <w:bCs/>
          <w:snapToGrid w:val="0"/>
          <w:color w:val="000000" w:themeColor="text1"/>
          <w:kern w:val="0"/>
          <w:szCs w:val="21"/>
          <w14:textFill>
            <w14:solidFill>
              <w14:schemeClr w14:val="tx1"/>
            </w14:solidFill>
          </w14:textFill>
        </w:rPr>
      </w:pPr>
    </w:p>
    <w:p>
      <w:pPr>
        <w:rPr>
          <w:bCs/>
          <w:snapToGrid w:val="0"/>
          <w:color w:val="000000" w:themeColor="text1"/>
          <w:kern w:val="0"/>
          <w:szCs w:val="21"/>
          <w14:textFill>
            <w14:solidFill>
              <w14:schemeClr w14:val="tx1"/>
            </w14:solidFill>
          </w14:textFill>
        </w:rPr>
      </w:pPr>
    </w:p>
    <w:p>
      <w:pPr>
        <w:rPr>
          <w:bCs/>
          <w:snapToGrid w:val="0"/>
          <w:color w:val="000000" w:themeColor="text1"/>
          <w:kern w:val="0"/>
          <w:szCs w:val="21"/>
          <w14:textFill>
            <w14:solidFill>
              <w14:schemeClr w14:val="tx1"/>
            </w14:solidFill>
          </w14:textFill>
        </w:rPr>
      </w:pPr>
    </w:p>
    <w:p>
      <w:pPr>
        <w:rPr>
          <w:bCs/>
          <w:snapToGrid w:val="0"/>
          <w:color w:val="000000" w:themeColor="text1"/>
          <w:kern w:val="0"/>
          <w:szCs w:val="21"/>
          <w14:textFill>
            <w14:solidFill>
              <w14:schemeClr w14:val="tx1"/>
            </w14:solidFill>
          </w14:textFill>
        </w:rPr>
      </w:pPr>
    </w:p>
    <w:p>
      <w:pPr>
        <w:rPr>
          <w:bCs/>
          <w:snapToGrid w:val="0"/>
          <w:color w:val="000000" w:themeColor="text1"/>
          <w:kern w:val="0"/>
          <w:szCs w:val="21"/>
          <w14:textFill>
            <w14:solidFill>
              <w14:schemeClr w14:val="tx1"/>
            </w14:solidFill>
          </w14:textFill>
        </w:rPr>
      </w:pPr>
    </w:p>
    <w:bookmarkEnd w:id="22"/>
    <w:bookmarkEnd w:id="23"/>
    <w:p>
      <w:pPr>
        <w:rPr>
          <w:rFonts w:ascii="宋体" w:hAnsi="宋体"/>
          <w:b/>
          <w:bCs/>
          <w:color w:val="000000" w:themeColor="text1"/>
          <w:sz w:val="32"/>
          <w:szCs w:val="32"/>
          <w14:textFill>
            <w14:solidFill>
              <w14:schemeClr w14:val="tx1"/>
            </w14:solidFill>
          </w14:textFill>
        </w:rPr>
      </w:pPr>
      <w:bookmarkStart w:id="58" w:name="_Toc40792202"/>
      <w:bookmarkStart w:id="59" w:name="_Toc69194588"/>
      <w:bookmarkStart w:id="60" w:name="_Toc69194589"/>
      <w:bookmarkStart w:id="61" w:name="_Toc508363595"/>
      <w:r>
        <w:rPr>
          <w:rFonts w:hint="eastAsia" w:ascii="宋体" w:hAnsi="宋体"/>
          <w:b/>
          <w:bCs/>
          <w:color w:val="000000" w:themeColor="text1"/>
          <w:sz w:val="32"/>
          <w:szCs w:val="32"/>
          <w14:textFill>
            <w14:solidFill>
              <w14:schemeClr w14:val="tx1"/>
            </w14:solidFill>
          </w14:textFill>
        </w:rPr>
        <w:br w:type="page"/>
      </w:r>
    </w:p>
    <w:p>
      <w:pPr>
        <w:keepNext/>
        <w:keepLines/>
        <w:spacing w:after="260" w:line="500" w:lineRule="exact"/>
        <w:jc w:val="center"/>
        <w:outlineLvl w:val="1"/>
        <w:rPr>
          <w:rFonts w:ascii="宋体" w:hAnsi="宋体"/>
          <w:b/>
          <w:bCs/>
          <w:color w:val="000000" w:themeColor="text1"/>
          <w:sz w:val="32"/>
          <w:szCs w:val="32"/>
          <w14:textFill>
            <w14:solidFill>
              <w14:schemeClr w14:val="tx1"/>
            </w14:solidFill>
          </w14:textFill>
        </w:rPr>
      </w:pPr>
      <w:bookmarkStart w:id="62" w:name="_Toc122103684"/>
      <w:r>
        <w:rPr>
          <w:rFonts w:hint="eastAsia" w:ascii="宋体" w:hAnsi="宋体"/>
          <w:b/>
          <w:bCs/>
          <w:color w:val="000000" w:themeColor="text1"/>
          <w:sz w:val="32"/>
          <w:szCs w:val="32"/>
          <w14:textFill>
            <w14:solidFill>
              <w14:schemeClr w14:val="tx1"/>
            </w14:solidFill>
          </w14:textFill>
        </w:rPr>
        <w:t>第三章 投标人须知</w:t>
      </w:r>
      <w:bookmarkEnd w:id="58"/>
      <w:bookmarkEnd w:id="59"/>
      <w:bookmarkEnd w:id="62"/>
      <w:bookmarkStart w:id="63" w:name="_Toc459990138"/>
    </w:p>
    <w:bookmarkEnd w:id="63"/>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64" w:name="_Toc14742"/>
      <w:r>
        <w:rPr>
          <w:rFonts w:hint="eastAsia" w:ascii="宋体" w:hAnsi="宋体"/>
          <w:b/>
          <w:bCs/>
          <w:color w:val="000000" w:themeColor="text1"/>
          <w:sz w:val="28"/>
          <w:szCs w:val="32"/>
          <w14:textFill>
            <w14:solidFill>
              <w14:schemeClr w14:val="tx1"/>
            </w14:solidFill>
          </w14:textFill>
        </w:rPr>
        <w:t>一．投标文件的编制</w:t>
      </w:r>
      <w:bookmarkEnd w:id="64"/>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360" w:lineRule="auto"/>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360" w:lineRule="auto"/>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65" w:name="_Toc19773335"/>
      <w:bookmarkStart w:id="66" w:name="_Toc22888331"/>
      <w:r>
        <w:rPr>
          <w:rFonts w:hint="eastAsia" w:ascii="宋体" w:hAnsi="宋体"/>
          <w:b/>
          <w:bCs/>
          <w:color w:val="000000" w:themeColor="text1"/>
          <w:sz w:val="28"/>
          <w:szCs w:val="32"/>
          <w14:textFill>
            <w14:solidFill>
              <w14:schemeClr w14:val="tx1"/>
            </w14:solidFill>
          </w14:textFill>
        </w:rPr>
        <w:t>二．投标保证金的缴纳</w:t>
      </w:r>
      <w:bookmarkEnd w:id="65"/>
      <w:bookmarkEnd w:id="66"/>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开标后，文旅博览集团将从投标保证金查询系统中查询投标保证金信息，并提交评标委员会评审。</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 投标保证金可采取下列任何一种形式：</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2.1异地电汇；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2.2本地转帐。</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4未按要求提交投标保证金的投标，将被视为非响应性投标而导致投标无效。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6有下列情形之一的，招标人不予退还投标保证金，如果该投标保证金不足以弥补因投标人过错而给招标人造成的损失，招标人有权要求投标人继续赔偿：</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6.1投标人在规定的投标有效期内撤回或修改其投标；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6.3弄虚作假或与其他投标人串通骗取中标；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6.4因中标人过错被取消中标资格的其他情况；</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6.5其它法律、规章规定或损害招标人利益的情形。</w:t>
      </w:r>
    </w:p>
    <w:p>
      <w:pPr>
        <w:widowControl/>
        <w:spacing w:line="360" w:lineRule="auto"/>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7由于投标人行为导致招标人或文旅博览集团损失的，相应损失由投标人承担，从投标保证金中扣除。投标保证金扣除后仍不足以弥补损失的，投标人应当对超过部分予以赔偿。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67" w:name="_Toc459990139"/>
      <w:bookmarkStart w:id="68" w:name="_Toc1729"/>
      <w:r>
        <w:rPr>
          <w:rFonts w:hint="eastAsia" w:ascii="宋体" w:hAnsi="宋体"/>
          <w:b/>
          <w:bCs/>
          <w:color w:val="000000" w:themeColor="text1"/>
          <w:sz w:val="28"/>
          <w:szCs w:val="32"/>
          <w14:textFill>
            <w14:solidFill>
              <w14:schemeClr w14:val="tx1"/>
            </w14:solidFill>
          </w14:textFill>
        </w:rPr>
        <w:t>三．投标文件的递交</w:t>
      </w:r>
      <w:bookmarkEnd w:id="67"/>
      <w:bookmarkEnd w:id="68"/>
      <w:bookmarkStart w:id="69" w:name="_Hlt509649414"/>
      <w:bookmarkEnd w:id="69"/>
    </w:p>
    <w:p>
      <w:pPr>
        <w:widowControl/>
        <w:spacing w:line="360" w:lineRule="auto"/>
        <w:rPr>
          <w:rFonts w:ascii="宋体" w:hAnsi="宋体" w:cs="宋体"/>
          <w:b/>
          <w:color w:val="000000" w:themeColor="text1"/>
          <w:kern w:val="0"/>
          <w:sz w:val="24"/>
          <w14:textFill>
            <w14:solidFill>
              <w14:schemeClr w14:val="tx1"/>
            </w14:solidFill>
          </w14:textFill>
        </w:rPr>
      </w:pPr>
      <w:bookmarkStart w:id="70" w:name="_Toc459990140"/>
      <w:bookmarkStart w:id="71" w:name="_Toc459990141"/>
      <w:bookmarkStart w:id="72"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1.1投标文件应装订成册、密封，并在封面注明招标编号、投标项目等，同时在密封处加盖骑缝章；</w:t>
      </w:r>
    </w:p>
    <w:p>
      <w:pPr>
        <w:widowControl/>
        <w:spacing w:line="360" w:lineRule="auto"/>
        <w:jc w:val="left"/>
        <w:rPr>
          <w:rFonts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1.2投标文件要求：</w:t>
      </w:r>
      <w:r>
        <w:rPr>
          <w:rFonts w:hint="eastAsia" w:ascii="宋体" w:hAnsi="宋体" w:cs="宋体"/>
          <w:bCs/>
          <w:color w:val="000000" w:themeColor="text1"/>
          <w:kern w:val="0"/>
          <w:sz w:val="24"/>
          <w14:textFill>
            <w14:solidFill>
              <w14:schemeClr w14:val="tx1"/>
            </w14:solidFill>
          </w14:textFill>
        </w:rPr>
        <w:t>正、副本各一份。</w:t>
      </w:r>
    </w:p>
    <w:p>
      <w:pPr>
        <w:spacing w:line="360" w:lineRule="auto"/>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 xml:space="preserve">    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ind w:firstLine="48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73" w:name="_Toc11307"/>
      <w:r>
        <w:rPr>
          <w:rFonts w:hint="eastAsia" w:ascii="宋体" w:hAnsi="宋体"/>
          <w:b/>
          <w:bCs/>
          <w:color w:val="000000" w:themeColor="text1"/>
          <w:sz w:val="28"/>
          <w:szCs w:val="32"/>
          <w14:textFill>
            <w14:solidFill>
              <w14:schemeClr w14:val="tx1"/>
            </w14:solidFill>
          </w14:textFill>
        </w:rPr>
        <w:t>四．</w:t>
      </w:r>
      <w:bookmarkEnd w:id="70"/>
      <w:r>
        <w:rPr>
          <w:rFonts w:hint="eastAsia" w:ascii="宋体" w:hAnsi="宋体"/>
          <w:b/>
          <w:bCs/>
          <w:color w:val="000000" w:themeColor="text1"/>
          <w:sz w:val="28"/>
          <w:szCs w:val="32"/>
          <w14:textFill>
            <w14:solidFill>
              <w14:schemeClr w14:val="tx1"/>
            </w14:solidFill>
          </w14:textFill>
        </w:rPr>
        <w:t>开标、评标及定标</w:t>
      </w:r>
      <w:bookmarkEnd w:id="73"/>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投标人一名授权代表参加商务标的开标</w:t>
      </w:r>
      <w:r>
        <w:rPr>
          <w:rFonts w:hint="eastAsia" w:ascii="宋体" w:hAnsi="宋体" w:cs="宋体"/>
          <w:color w:val="000000" w:themeColor="text1"/>
          <w:kern w:val="0"/>
          <w:sz w:val="24"/>
          <w14:textFill>
            <w14:solidFill>
              <w14:schemeClr w14:val="tx1"/>
            </w14:solidFill>
          </w14:textFill>
        </w:rPr>
        <w:t>。（授权代表须出示身份证原件）</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文旅博览集团</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14:textFill>
            <w14:solidFill>
              <w14:schemeClr w14:val="tx1"/>
            </w14:solidFill>
          </w14:textFill>
        </w:rPr>
        <w:t>文旅博览集团将当众宣读</w:t>
      </w:r>
      <w:r>
        <w:rPr>
          <w:rFonts w:hint="eastAsia" w:ascii="宋体" w:hAnsi="宋体"/>
          <w:color w:val="000000" w:themeColor="text1"/>
          <w:sz w:val="24"/>
          <w:szCs w:val="24"/>
          <w14:textFill>
            <w14:solidFill>
              <w14:schemeClr w14:val="tx1"/>
            </w14:solidFill>
          </w14:textFill>
        </w:rPr>
        <w:t>投标人名称、投标价格以及文旅博览集团认为合适的其它详细内容。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540" w:firstLineChars="224"/>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b/>
          <w:bCs/>
          <w:color w:val="000000" w:themeColor="text1"/>
          <w:sz w:val="24"/>
          <w:u w:val="single"/>
          <w14:textFill>
            <w14:solidFill>
              <w14:schemeClr w14:val="tx1"/>
            </w14:solidFill>
          </w14:textFill>
        </w:rPr>
        <w:t>综合评分法</w:t>
      </w:r>
      <w:r>
        <w:rPr>
          <w:rFonts w:hint="eastAsia" w:ascii="宋体" w:hAnsi="宋体"/>
          <w:color w:val="000000" w:themeColor="text1"/>
          <w:sz w:val="24"/>
          <w14:textFill>
            <w14:solidFill>
              <w14:schemeClr w14:val="tx1"/>
            </w14:solidFill>
          </w14:textFill>
        </w:rPr>
        <w:t>作为对投标人标书的比较方法。</w:t>
      </w:r>
    </w:p>
    <w:p>
      <w:pPr>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投标文件未经投标单位盖章和单位负责人签字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评委委员会评议认为构成废标的其他情况；</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3.6.9投标人未按要求提交投标保证金的；</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.10其他未实质性响应招标文件要求的。</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4.4</w:t>
      </w:r>
      <w:r>
        <w:rPr>
          <w:rFonts w:hint="eastAsia" w:ascii="宋体" w:hAnsi="宋体" w:cs="宋体"/>
          <w:color w:val="000000" w:themeColor="text1"/>
          <w:kern w:val="0"/>
          <w:sz w:val="24"/>
          <w14:textFill>
            <w14:solidFill>
              <w14:schemeClr w14:val="tx1"/>
            </w14:solidFill>
          </w14:textFill>
        </w:rPr>
        <w:t>招标人不承诺报价最低者能够中标。</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525" w:firstLineChars="218"/>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 xml:space="preserve"> 本招标文件所要求的证书、认证、资质，均应当是有权机构颁发，且在有效期内的。</w:t>
      </w:r>
    </w:p>
    <w:p>
      <w:pPr>
        <w:spacing w:line="360" w:lineRule="auto"/>
        <w:ind w:firstLine="562" w:firstLineChars="200"/>
        <w:jc w:val="center"/>
        <w:rPr>
          <w:rFonts w:ascii="宋体" w:hAnsi="宋体"/>
          <w:b/>
          <w:bCs/>
          <w:color w:val="000000" w:themeColor="text1"/>
          <w:sz w:val="28"/>
          <w:szCs w:val="32"/>
          <w14:textFill>
            <w14:solidFill>
              <w14:schemeClr w14:val="tx1"/>
            </w14:solidFill>
          </w14:textFill>
        </w:rPr>
      </w:pPr>
    </w:p>
    <w:p>
      <w:pPr>
        <w:spacing w:line="360" w:lineRule="auto"/>
        <w:ind w:firstLine="562" w:firstLineChars="200"/>
        <w:jc w:val="center"/>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五.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1.与本次招标活动相关的信息，将在合肥文旅博览集团有限公司网(</w:t>
      </w:r>
      <w:r>
        <w:rPr>
          <w:rFonts w:ascii="宋体" w:hAnsi="宋体"/>
          <w:color w:val="000000" w:themeColor="text1"/>
          <w:sz w:val="24"/>
          <w:szCs w:val="24"/>
          <w:u w:val="single"/>
          <w14:textFill>
            <w14:solidFill>
              <w14:schemeClr w14:val="tx1"/>
            </w14:solidFill>
          </w14:textFill>
        </w:rPr>
        <w:t>http://www.zwzcgl.com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74" w:name="_Toc20377"/>
      <w:r>
        <w:rPr>
          <w:rFonts w:hint="eastAsia" w:ascii="宋体" w:hAnsi="宋体"/>
          <w:b/>
          <w:bCs/>
          <w:color w:val="000000" w:themeColor="text1"/>
          <w:sz w:val="28"/>
          <w:szCs w:val="32"/>
          <w14:textFill>
            <w14:solidFill>
              <w14:schemeClr w14:val="tx1"/>
            </w14:solidFill>
          </w14:textFill>
        </w:rPr>
        <w:t>六．投标文件的澄清</w:t>
      </w:r>
      <w:bookmarkEnd w:id="74"/>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75" w:name="_Toc15099"/>
      <w:r>
        <w:rPr>
          <w:rFonts w:hint="eastAsia" w:ascii="宋体" w:hAnsi="宋体"/>
          <w:b/>
          <w:bCs/>
          <w:color w:val="000000" w:themeColor="text1"/>
          <w:sz w:val="28"/>
          <w:szCs w:val="32"/>
          <w14:textFill>
            <w14:solidFill>
              <w14:schemeClr w14:val="tx1"/>
            </w14:solidFill>
          </w14:textFill>
        </w:rPr>
        <w:t>七.中标通知书</w:t>
      </w:r>
      <w:bookmarkEnd w:id="75"/>
    </w:p>
    <w:p>
      <w:pPr>
        <w:tabs>
          <w:tab w:val="left" w:pos="709"/>
        </w:tabs>
        <w:snapToGrid w:val="0"/>
        <w:spacing w:line="360" w:lineRule="auto"/>
        <w:ind w:firstLine="600" w:firstLineChars="250"/>
        <w:rPr>
          <w:rFonts w:ascii="宋体" w:hAnsi="宋体" w:cs="黑体"/>
          <w:color w:val="000000" w:themeColor="text1"/>
          <w:kern w:val="0"/>
          <w:sz w:val="24"/>
          <w:szCs w:val="20"/>
          <w14:textFill>
            <w14:solidFill>
              <w14:schemeClr w14:val="tx1"/>
            </w14:solidFill>
          </w14:textFill>
        </w:rPr>
      </w:pPr>
      <w:r>
        <w:rPr>
          <w:rFonts w:hint="eastAsia" w:ascii="宋体" w:hAnsi="宋体" w:cs="黑体"/>
          <w:bCs/>
          <w:color w:val="000000" w:themeColor="text1"/>
          <w:kern w:val="0"/>
          <w:sz w:val="24"/>
          <w:szCs w:val="20"/>
          <w14:textFill>
            <w14:solidFill>
              <w14:schemeClr w14:val="tx1"/>
            </w14:solidFill>
          </w14:textFill>
        </w:rPr>
        <w:t>1.</w:t>
      </w:r>
      <w:r>
        <w:rPr>
          <w:rFonts w:hint="eastAsia" w:ascii="宋体" w:hAnsi="宋体" w:cs="黑体"/>
          <w:color w:val="000000" w:themeColor="text1"/>
          <w:kern w:val="0"/>
          <w:sz w:val="24"/>
          <w:szCs w:val="20"/>
          <w14:textFill>
            <w14:solidFill>
              <w14:schemeClr w14:val="tx1"/>
            </w14:solidFill>
          </w14:textFill>
        </w:rPr>
        <w:t>文旅博览集团将以中标通知书形式通知中标人，其投标已被接受。</w:t>
      </w:r>
    </w:p>
    <w:p>
      <w:pPr>
        <w:tabs>
          <w:tab w:val="left" w:pos="709"/>
        </w:tabs>
        <w:snapToGrid w:val="0"/>
        <w:spacing w:line="360" w:lineRule="auto"/>
        <w:ind w:left="566"/>
        <w:rPr>
          <w:rFonts w:ascii="宋体" w:hAnsi="宋体" w:cs="黑体"/>
          <w:color w:val="000000" w:themeColor="text1"/>
          <w:kern w:val="0"/>
          <w:sz w:val="24"/>
          <w:szCs w:val="20"/>
          <w14:textFill>
            <w14:solidFill>
              <w14:schemeClr w14:val="tx1"/>
            </w14:solidFill>
          </w14:textFill>
        </w:rPr>
      </w:pPr>
      <w:r>
        <w:rPr>
          <w:rFonts w:hint="eastAsia" w:ascii="宋体" w:hAnsi="宋体" w:cs="黑体"/>
          <w:bCs/>
          <w:color w:val="000000" w:themeColor="text1"/>
          <w:kern w:val="0"/>
          <w:sz w:val="24"/>
          <w:szCs w:val="20"/>
          <w14:textFill>
            <w14:solidFill>
              <w14:schemeClr w14:val="tx1"/>
            </w14:solidFill>
          </w14:textFill>
        </w:rPr>
        <w:t>2.</w:t>
      </w:r>
      <w:r>
        <w:rPr>
          <w:rFonts w:hint="eastAsia" w:ascii="宋体" w:hAnsi="宋体" w:cs="黑体"/>
          <w:color w:val="000000" w:themeColor="text1"/>
          <w:kern w:val="0"/>
          <w:sz w:val="24"/>
          <w:szCs w:val="20"/>
          <w14:textFill>
            <w14:solidFill>
              <w14:schemeClr w14:val="tx1"/>
            </w14:solidFill>
          </w14:textFill>
        </w:rPr>
        <w:t>文旅博览集团对未中标的投标人不做未中标原因的解释。</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中标公示期满后，中标人请在3个工作日内委派专人凭介绍信或公司授权书（须同时携带有效身份证明）领取中标通知书（联系人及联系方式：胡工0551-63530687，地址：</w:t>
      </w:r>
      <w:r>
        <w:rPr>
          <w:rFonts w:hint="eastAsia" w:ascii="宋体" w:hAnsi="宋体"/>
          <w:bCs/>
          <w:color w:val="000000" w:themeColor="text1"/>
          <w:sz w:val="24"/>
          <w:szCs w:val="18"/>
          <w14:textFill>
            <w14:solidFill>
              <w14:schemeClr w14:val="tx1"/>
            </w14:solidFill>
          </w14:textFill>
        </w:rPr>
        <w:t>合肥市蜀山区习友路与茂荫路交口投资大厦2楼招标采购部</w:t>
      </w:r>
      <w:r>
        <w:rPr>
          <w:rFonts w:hint="eastAsia" w:ascii="宋体" w:hAnsi="宋体"/>
          <w:color w:val="000000" w:themeColor="text1"/>
          <w:sz w:val="24"/>
          <w14:textFill>
            <w14:solidFill>
              <w14:schemeClr w14:val="tx1"/>
            </w14:solidFill>
          </w14:textFill>
        </w:rPr>
        <w:t>）。</w:t>
      </w:r>
      <w:bookmarkEnd w:id="71"/>
      <w:bookmarkEnd w:id="72"/>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76" w:name="_Toc1477"/>
      <w:r>
        <w:rPr>
          <w:rFonts w:hint="eastAsia" w:ascii="宋体" w:hAnsi="宋体"/>
          <w:b/>
          <w:bCs/>
          <w:color w:val="000000" w:themeColor="text1"/>
          <w:sz w:val="28"/>
          <w:szCs w:val="32"/>
          <w14:textFill>
            <w14:solidFill>
              <w14:schemeClr w14:val="tx1"/>
            </w14:solidFill>
          </w14:textFill>
        </w:rPr>
        <w:t>八.异议处理</w:t>
      </w:r>
      <w:bookmarkEnd w:id="76"/>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4.文旅博览集团将在收到书面质疑后5个工作日内审查异议事项，作出答复或相关处理决定，并以书面形式通知异议人，但答复的内容不涉及商业秘密。</w:t>
      </w:r>
      <w:bookmarkEnd w:id="60"/>
    </w:p>
    <w:p>
      <w:pPr>
        <w:pStyle w:val="4"/>
        <w:spacing w:before="0" w:line="500" w:lineRule="exact"/>
        <w:ind w:firstLine="0"/>
        <w:rPr>
          <w:rFonts w:ascii="宋体" w:hAnsi="宋体" w:eastAsia="宋体"/>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14:textFill>
            <w14:solidFill>
              <w14:schemeClr w14:val="tx1"/>
            </w14:solidFill>
          </w14:textFill>
        </w:rPr>
      </w:pPr>
      <w:bookmarkStart w:id="77" w:name="_Toc122103685"/>
      <w:r>
        <w:rPr>
          <w:rFonts w:hint="eastAsia" w:ascii="宋体" w:hAnsi="宋体" w:eastAsia="宋体"/>
          <w:color w:val="000000" w:themeColor="text1"/>
          <w14:textFill>
            <w14:solidFill>
              <w14:schemeClr w14:val="tx1"/>
            </w14:solidFill>
          </w14:textFill>
        </w:rPr>
        <w:t>第四章  招标需求</w:t>
      </w:r>
      <w:bookmarkEnd w:id="77"/>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1.投标人自行考虑“营改增”税收费用及风险，中标后须按国家相关规定</w:t>
      </w:r>
      <w:r>
        <w:rPr>
          <w:rFonts w:hint="eastAsia" w:ascii="Calibri" w:hAnsi="宋体"/>
          <w:color w:val="000000" w:themeColor="text1"/>
          <w:sz w:val="24"/>
          <w:szCs w:val="28"/>
          <w14:textFill>
            <w14:solidFill>
              <w14:schemeClr w14:val="tx1"/>
            </w14:solidFill>
          </w14:textFill>
        </w:rPr>
        <w:t>缴纳</w:t>
      </w:r>
      <w:r>
        <w:rPr>
          <w:rFonts w:hint="eastAsia" w:ascii="宋体" w:hAnsi="宋体"/>
          <w:color w:val="000000" w:themeColor="text1"/>
          <w:sz w:val="24"/>
          <w:szCs w:val="28"/>
          <w14:textFill>
            <w14:solidFill>
              <w14:schemeClr w14:val="tx1"/>
            </w14:solidFill>
          </w14:textFill>
        </w:rPr>
        <w:t>税金并按招标人要求提供发票，费用含在本次投标总价中，中标后不作调整。</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2.如对本招标文件有任何疑问或澄清要求，请按本招标文件“投标人须知前附表”中的约定方式联系文旅博览集团，或接受答疑截止时间前联系招标人。否则视同理解和接受。</w:t>
      </w:r>
    </w:p>
    <w:p>
      <w:pPr>
        <w:spacing w:line="360" w:lineRule="auto"/>
        <w:ind w:firstLine="482" w:firstLineChars="200"/>
        <w:rPr>
          <w:rFonts w:ascii="宋体" w:hAnsi="宋体"/>
          <w:b/>
          <w:color w:val="000000" w:themeColor="text1"/>
          <w:sz w:val="24"/>
          <w:szCs w:val="24"/>
          <w14:textFill>
            <w14:solidFill>
              <w14:schemeClr w14:val="tx1"/>
            </w14:solidFill>
          </w14:textFill>
        </w:rPr>
      </w:pPr>
      <w:bookmarkStart w:id="78" w:name="_Toc482188637"/>
      <w:r>
        <w:rPr>
          <w:rFonts w:ascii="宋体" w:hAnsi="宋体"/>
          <w:b/>
          <w:color w:val="000000" w:themeColor="text1"/>
          <w:sz w:val="24"/>
          <w:szCs w:val="24"/>
          <w14:textFill>
            <w14:solidFill>
              <w14:schemeClr w14:val="tx1"/>
            </w14:solidFill>
          </w14:textFill>
        </w:rPr>
        <w:t>一、</w:t>
      </w:r>
      <w:bookmarkEnd w:id="78"/>
      <w:r>
        <w:rPr>
          <w:rFonts w:hint="eastAsia" w:ascii="宋体" w:hAnsi="宋体"/>
          <w:b/>
          <w:color w:val="000000" w:themeColor="text1"/>
          <w:sz w:val="24"/>
          <w:szCs w:val="24"/>
          <w14:textFill>
            <w14:solidFill>
              <w14:schemeClr w14:val="tx1"/>
            </w14:solidFill>
          </w14:textFill>
        </w:rPr>
        <w:t>项目概况</w:t>
      </w:r>
    </w:p>
    <w:p>
      <w:pPr>
        <w:spacing w:line="360" w:lineRule="auto"/>
        <w:ind w:firstLine="480" w:firstLineChars="200"/>
        <w:rPr>
          <w:rFonts w:ascii="宋体" w:hAnsi="宋体"/>
          <w:b/>
          <w:bCs/>
          <w:color w:val="000000" w:themeColor="text1"/>
          <w:sz w:val="24"/>
          <w:szCs w:val="28"/>
          <w:highlight w:val="yellow"/>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合肥国际人才公寓项目位于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合肥市蜀山区汤池路与茗香路交口</w:t>
      </w:r>
      <w:r>
        <w:rPr>
          <w:rFonts w:hint="eastAsia" w:ascii="宋体" w:hAnsi="宋体"/>
          <w:color w:val="000000" w:themeColor="text1"/>
          <w:sz w:val="24"/>
          <w:szCs w:val="28"/>
          <w14:textFill>
            <w14:solidFill>
              <w14:schemeClr w14:val="tx1"/>
            </w14:solidFill>
          </w14:textFill>
        </w:rPr>
        <w:t>，占地面积约7万平米，建筑面积约25万平米，项目由A、B、C三个地块组成，其中C地块为3栋17层住宅楼及地下2层车库组成；A地块由12栋17层至26层住宅楼、一栋5层邻里中心、一栋18层酒店式公寓组成；B地块由2栋18层青年公寓、一座一层菜市场、一栋6班幼儿园组成。5．本次招标内容包括但不限于：负责完成C地块消防工程剩余工作及A地块配套消防工程的施工；负责梳理提交完成C地块消防验收备案所需的消防工程量清单，并报招标人审核同意后实施；负责完成C地块消防验收备案等相关工作，具体工作内容由招标人确定，并以招标人下发的任务单为准。项目概算</w:t>
      </w:r>
      <w:r>
        <w:rPr>
          <w:rFonts w:hint="eastAsia" w:ascii="宋体" w:hAnsi="宋体"/>
          <w:b/>
          <w:bCs/>
          <w:color w:val="000000" w:themeColor="text1"/>
          <w:sz w:val="24"/>
          <w:szCs w:val="28"/>
          <w14:textFill>
            <w14:solidFill>
              <w14:schemeClr w14:val="tx1"/>
            </w14:solidFill>
          </w14:textFill>
        </w:rPr>
        <w:t>约</w:t>
      </w:r>
      <w:r>
        <w:rPr>
          <w:rFonts w:ascii="宋体" w:hAnsi="宋体"/>
          <w:b/>
          <w:bCs/>
          <w:color w:val="000000" w:themeColor="text1"/>
          <w:sz w:val="24"/>
          <w:szCs w:val="28"/>
          <w14:textFill>
            <w14:solidFill>
              <w14:schemeClr w14:val="tx1"/>
            </w14:solidFill>
          </w14:textFill>
        </w:rPr>
        <w:t>3</w:t>
      </w:r>
      <w:r>
        <w:rPr>
          <w:rFonts w:hint="eastAsia" w:ascii="宋体" w:hAnsi="宋体"/>
          <w:b/>
          <w:bCs/>
          <w:color w:val="000000" w:themeColor="text1"/>
          <w:sz w:val="24"/>
          <w:szCs w:val="28"/>
          <w14:textFill>
            <w14:solidFill>
              <w14:schemeClr w14:val="tx1"/>
            </w14:solidFill>
          </w14:textFill>
        </w:rPr>
        <w:t>50万元，为暂定金额，具体以实际完成工作量及审计决算为准，且完成本项目所有工程内容不得超过暂定金额。</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二、工程内容及要求</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lang w:val="en-US"/>
          <w14:textFill>
            <w14:solidFill>
              <w14:schemeClr w14:val="tx1"/>
            </w14:solidFill>
          </w14:textFill>
        </w:rPr>
        <w:t>中标人</w:t>
      </w:r>
      <w:r>
        <w:rPr>
          <w:rFonts w:hint="eastAsia"/>
          <w:color w:val="000000" w:themeColor="text1"/>
          <w:spacing w:val="-6"/>
          <w:sz w:val="24"/>
          <w:szCs w:val="24"/>
          <w14:textFill>
            <w14:solidFill>
              <w14:schemeClr w14:val="tx1"/>
            </w14:solidFill>
          </w14:textFill>
        </w:rPr>
        <w:t>负责</w:t>
      </w:r>
      <w:r>
        <w:rPr>
          <w:rFonts w:hint="eastAsia"/>
          <w:color w:val="000000" w:themeColor="text1"/>
          <w:spacing w:val="-6"/>
          <w:sz w:val="24"/>
          <w:szCs w:val="24"/>
          <w:lang w:val="en-US"/>
          <w14:textFill>
            <w14:solidFill>
              <w14:schemeClr w14:val="tx1"/>
            </w14:solidFill>
          </w14:textFill>
        </w:rPr>
        <w:t>梳理确保C地块消防验收备案完成所需的工程量清单，并报招标人审核同意后实施。</w:t>
      </w:r>
      <w:r>
        <w:rPr>
          <w:rFonts w:hint="eastAsia"/>
          <w:color w:val="000000" w:themeColor="text1"/>
          <w:spacing w:val="-6"/>
          <w:sz w:val="24"/>
          <w:szCs w:val="24"/>
          <w14:textFill>
            <w14:solidFill>
              <w14:schemeClr w14:val="tx1"/>
            </w14:solidFill>
          </w14:textFill>
        </w:rPr>
        <w:t>具体工作内容由招标人确定，并以招标人下发的任务单为准。</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中标人应按照招标人指令实施应急施工事项，具体内容以招标人下发的施工任务单为准，合同金额上限为</w:t>
      </w:r>
      <w:r>
        <w:rPr>
          <w:rFonts w:hint="eastAsia"/>
          <w:color w:val="000000" w:themeColor="text1"/>
          <w:spacing w:val="-6"/>
          <w:sz w:val="24"/>
          <w:szCs w:val="24"/>
          <w:lang w:val="en-US"/>
          <w14:textFill>
            <w14:solidFill>
              <w14:schemeClr w14:val="tx1"/>
            </w14:solidFill>
          </w14:textFill>
        </w:rPr>
        <w:t>350</w:t>
      </w:r>
      <w:r>
        <w:rPr>
          <w:rFonts w:hint="eastAsia"/>
          <w:color w:val="000000" w:themeColor="text1"/>
          <w:spacing w:val="-6"/>
          <w:sz w:val="24"/>
          <w:szCs w:val="24"/>
          <w14:textFill>
            <w14:solidFill>
              <w14:schemeClr w14:val="tx1"/>
            </w14:solidFill>
          </w14:textFill>
        </w:rPr>
        <w:t>万元，具体施工金额以实际发生量为准，中标人不得以合同金额未用完为理由向招标人提出索赔。</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中标人必须根据招标人要求的时间节点进行施工计划安排，不得以任何理由拒绝实施，连续二次拒绝实施，招标人有权单方面解除合同。</w:t>
      </w:r>
    </w:p>
    <w:p>
      <w:pPr>
        <w:pStyle w:val="200"/>
        <w:numPr>
          <w:ilvl w:val="0"/>
          <w:numId w:val="4"/>
        </w:numPr>
        <w:tabs>
          <w:tab w:val="left" w:pos="293"/>
        </w:tabs>
        <w:spacing w:line="360" w:lineRule="auto"/>
        <w:ind w:firstLine="456" w:firstLineChars="200"/>
        <w:rPr>
          <w:color w:val="000000" w:themeColor="text1"/>
          <w:spacing w:val="-6"/>
          <w:sz w:val="24"/>
          <w:szCs w:val="24"/>
          <w:lang w:val="en-US"/>
          <w14:textFill>
            <w14:solidFill>
              <w14:schemeClr w14:val="tx1"/>
            </w14:solidFill>
          </w14:textFill>
        </w:rPr>
      </w:pPr>
      <w:r>
        <w:rPr>
          <w:rFonts w:hint="eastAsia"/>
          <w:color w:val="000000" w:themeColor="text1"/>
          <w:spacing w:val="-6"/>
          <w:sz w:val="24"/>
          <w:szCs w:val="24"/>
          <w14:textFill>
            <w14:solidFill>
              <w14:schemeClr w14:val="tx1"/>
            </w14:solidFill>
          </w14:textFill>
        </w:rPr>
        <w:t>所有涉及到消防验收的装饰、安装施工及其材料等，均要确保符合图纸设计要求，确保消防验收通过。</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现场施工务必做到文明施工标准，垃圾随时清理，并放置安全警示标牌及相关安全维护设施，施工现场动火务必报审，并经使用单位批准后方可安排专业人员持证上岗作业，并上报安全防范措施。</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涉及到专业项目分包务必具有相关资质条件，资质等级根据项目规模而确定，并报送</w:t>
      </w:r>
      <w:r>
        <w:rPr>
          <w:rFonts w:hint="eastAsia"/>
          <w:color w:val="000000" w:themeColor="text1"/>
          <w:spacing w:val="-6"/>
          <w:sz w:val="24"/>
          <w:szCs w:val="24"/>
          <w:lang w:val="en-US"/>
          <w14:textFill>
            <w14:solidFill>
              <w14:schemeClr w14:val="tx1"/>
            </w14:solidFill>
          </w14:textFill>
        </w:rPr>
        <w:t>招标人</w:t>
      </w:r>
      <w:r>
        <w:rPr>
          <w:rFonts w:hint="eastAsia"/>
          <w:color w:val="000000" w:themeColor="text1"/>
          <w:spacing w:val="-6"/>
          <w:sz w:val="24"/>
          <w:szCs w:val="24"/>
          <w14:textFill>
            <w14:solidFill>
              <w14:schemeClr w14:val="tx1"/>
            </w14:solidFill>
          </w14:textFill>
        </w:rPr>
        <w:t>、监理</w:t>
      </w:r>
      <w:r>
        <w:rPr>
          <w:rFonts w:hint="eastAsia"/>
          <w:color w:val="000000" w:themeColor="text1"/>
          <w:spacing w:val="-6"/>
          <w:sz w:val="24"/>
          <w:szCs w:val="24"/>
          <w:lang w:val="en-US"/>
          <w14:textFill>
            <w14:solidFill>
              <w14:schemeClr w14:val="tx1"/>
            </w14:solidFill>
          </w14:textFill>
        </w:rPr>
        <w:t>人</w:t>
      </w:r>
      <w:r>
        <w:rPr>
          <w:rFonts w:hint="eastAsia"/>
          <w:color w:val="000000" w:themeColor="text1"/>
          <w:spacing w:val="-6"/>
          <w:sz w:val="24"/>
          <w:szCs w:val="24"/>
          <w14:textFill>
            <w14:solidFill>
              <w14:schemeClr w14:val="tx1"/>
            </w14:solidFill>
          </w14:textFill>
        </w:rPr>
        <w:t>进行确认，专业分包项目务必验收合格后方可办理付款手续。</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lang w:val="en-US"/>
          <w14:textFill>
            <w14:solidFill>
              <w14:schemeClr w14:val="tx1"/>
            </w14:solidFill>
          </w14:textFill>
        </w:rPr>
        <w:t>需中标人</w:t>
      </w:r>
      <w:r>
        <w:rPr>
          <w:rFonts w:hint="eastAsia"/>
          <w:color w:val="000000" w:themeColor="text1"/>
          <w:spacing w:val="-6"/>
          <w:sz w:val="24"/>
          <w:szCs w:val="24"/>
          <w14:textFill>
            <w14:solidFill>
              <w14:schemeClr w14:val="tx1"/>
            </w14:solidFill>
          </w14:textFill>
        </w:rPr>
        <w:t>自行采购的材料、设备，材料品牌及厂家需经监理单位、招标人审核认可，并且选定的材料供应厂家、颜色、样式和价格须经监理单位及招标人审核后方可使用，施工材料需严格按照监理单位及招标人要求堆放，不得影响其他单位施工。</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本项目施工过程中可能涉及交叉施工的，中标人不得以任何理由拒绝配合施工且不得以任何理由拖延工期，对局部或者某项工程需提前投入使用的，投标人须无条件按招标人要求组织施工。</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成品保护及交叉施工：投标人自行踏勘现场，如因中标人原因对现场成品造成损坏的，由中标人负责维修直至满足原设计、监理单位及招标人要求，如中标人无法维修的，由中标人与原施工单位自行协调维修，费用由中标人承担，若中标人拒绝维修或拒绝承担维修费用的，招标人将从中标人当月工程款中直接扣除。</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本工程不提供生活区、办公室，请中标单位自行解决，</w:t>
      </w:r>
      <w:r>
        <w:rPr>
          <w:rFonts w:hint="eastAsia"/>
          <w:color w:val="000000" w:themeColor="text1"/>
          <w:spacing w:val="-6"/>
          <w:sz w:val="24"/>
          <w:szCs w:val="24"/>
          <w:lang w:val="en-US"/>
          <w14:textFill>
            <w14:solidFill>
              <w14:schemeClr w14:val="tx1"/>
            </w14:solidFill>
          </w14:textFill>
        </w:rPr>
        <w:t>若中标单位在现场搭建临时活动板房等办公场地，须在项目完成消防验收后三十个工作日内将相关场地清理完毕并恢复原状</w:t>
      </w:r>
      <w:r>
        <w:rPr>
          <w:rFonts w:hint="eastAsia"/>
          <w:color w:val="000000" w:themeColor="text1"/>
          <w:spacing w:val="-6"/>
          <w:sz w:val="24"/>
          <w:szCs w:val="24"/>
          <w14:textFill>
            <w14:solidFill>
              <w14:schemeClr w14:val="tx1"/>
            </w14:solidFill>
          </w14:textFill>
        </w:rPr>
        <w:t>。</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投标人在投标前应自行踏勘现场，以便了解现场实际情况，有利于施工组织设计的制作。踏勘现场所发生的费用及安全责任由投标人自行承担。</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投标人一旦中标，投标时所报的本项目的项目经理、技术负责人、中标后确定配备的其他主要管理人员和技术人员及施工机械等在整个项目施工期内必须在位，上班期间需要进行考勤打卡。中标人项目经理、技术负责人、安全负责人等主要管理人员须准时参加政府单位或建设单位或监理单位组织的工程会议，不得缺席，项目经理缺席按照 2000 元/次进行处罚，其他管理人员缺席按照 1000 元/次进行处罚，特殊情况请假须征得会议主持人的同意。</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工程建设过程中，中标人必须严格按照合同的要求，保质保量按期完成合同全部内容，若发现施工过程中投标人有严重违反合同中有关工程质量、安全、进度及农民工工资发放等主要条款的行为，除予以相应的处罚外，同时将视问题严重程度，扣除部分或全部履约保证金。</w:t>
      </w:r>
    </w:p>
    <w:p>
      <w:pPr>
        <w:pStyle w:val="200"/>
        <w:numPr>
          <w:ilvl w:val="0"/>
          <w:numId w:val="4"/>
        </w:numPr>
        <w:tabs>
          <w:tab w:val="left" w:pos="293"/>
        </w:tabs>
        <w:spacing w:line="360" w:lineRule="auto"/>
        <w:ind w:firstLine="456" w:firstLineChars="200"/>
        <w:rPr>
          <w:color w:val="000000" w:themeColor="text1"/>
          <w:spacing w:val="-6"/>
          <w:sz w:val="24"/>
          <w:szCs w:val="24"/>
          <w14:textFill>
            <w14:solidFill>
              <w14:schemeClr w14:val="tx1"/>
            </w14:solidFill>
          </w14:textFill>
        </w:rPr>
      </w:pPr>
      <w:r>
        <w:rPr>
          <w:rFonts w:hint="eastAsia"/>
          <w:color w:val="000000" w:themeColor="text1"/>
          <w:spacing w:val="-6"/>
          <w:sz w:val="24"/>
          <w:szCs w:val="24"/>
          <w14:textFill>
            <w14:solidFill>
              <w14:schemeClr w14:val="tx1"/>
            </w14:solidFill>
          </w14:textFill>
        </w:rPr>
        <w:t xml:space="preserve">若项目实施过程中，施工单位未按有关规定做好农民工工资发放，发生拖欠民工工资的事实或有民工为拖欠工资去有关部门投诉、上访的行为，除严格按照市、区关于建设领域农民工维权维稳管理办法规定处理外，还需向招标人支付相应的违约金，到招标人单位上访投诉的赔偿违约金 </w:t>
      </w:r>
      <w:r>
        <w:rPr>
          <w:rFonts w:hint="eastAsia"/>
          <w:color w:val="000000" w:themeColor="text1"/>
          <w:spacing w:val="-6"/>
          <w:sz w:val="24"/>
          <w:szCs w:val="24"/>
          <w:lang w:val="en-US"/>
          <w14:textFill>
            <w14:solidFill>
              <w14:schemeClr w14:val="tx1"/>
            </w14:solidFill>
          </w14:textFill>
        </w:rPr>
        <w:t>5</w:t>
      </w:r>
      <w:r>
        <w:rPr>
          <w:rFonts w:hint="eastAsia"/>
          <w:color w:val="000000" w:themeColor="text1"/>
          <w:spacing w:val="-6"/>
          <w:sz w:val="24"/>
          <w:szCs w:val="24"/>
          <w14:textFill>
            <w14:solidFill>
              <w14:schemeClr w14:val="tx1"/>
            </w14:solidFill>
          </w14:textFill>
        </w:rPr>
        <w:t xml:space="preserve">万元/次，到区政府（含职能部门）上访投诉的赔偿违约金 </w:t>
      </w:r>
      <w:r>
        <w:rPr>
          <w:rFonts w:hint="eastAsia"/>
          <w:color w:val="000000" w:themeColor="text1"/>
          <w:spacing w:val="-6"/>
          <w:sz w:val="24"/>
          <w:szCs w:val="24"/>
          <w:lang w:val="en-US"/>
          <w14:textFill>
            <w14:solidFill>
              <w14:schemeClr w14:val="tx1"/>
            </w14:solidFill>
          </w14:textFill>
        </w:rPr>
        <w:t>10</w:t>
      </w:r>
      <w:r>
        <w:rPr>
          <w:rFonts w:hint="eastAsia"/>
          <w:color w:val="000000" w:themeColor="text1"/>
          <w:spacing w:val="-6"/>
          <w:sz w:val="24"/>
          <w:szCs w:val="24"/>
          <w14:textFill>
            <w14:solidFill>
              <w14:schemeClr w14:val="tx1"/>
            </w14:solidFill>
          </w14:textFill>
        </w:rPr>
        <w:t xml:space="preserve"> 万元/次，到市政府上访投诉的赔偿违约金</w:t>
      </w:r>
      <w:r>
        <w:rPr>
          <w:rFonts w:hint="eastAsia"/>
          <w:color w:val="000000" w:themeColor="text1"/>
          <w:spacing w:val="-6"/>
          <w:sz w:val="24"/>
          <w:szCs w:val="24"/>
          <w:lang w:val="en-US"/>
          <w14:textFill>
            <w14:solidFill>
              <w14:schemeClr w14:val="tx1"/>
            </w14:solidFill>
          </w14:textFill>
        </w:rPr>
        <w:t>20</w:t>
      </w:r>
      <w:r>
        <w:rPr>
          <w:rFonts w:hint="eastAsia"/>
          <w:color w:val="000000" w:themeColor="text1"/>
          <w:spacing w:val="-6"/>
          <w:sz w:val="24"/>
          <w:szCs w:val="24"/>
          <w14:textFill>
            <w14:solidFill>
              <w14:schemeClr w14:val="tx1"/>
            </w14:solidFill>
          </w14:textFill>
        </w:rPr>
        <w:t xml:space="preserve">万元/次，到省政府上访投诉的赔偿违约金 </w:t>
      </w:r>
      <w:r>
        <w:rPr>
          <w:rFonts w:hint="eastAsia"/>
          <w:color w:val="000000" w:themeColor="text1"/>
          <w:spacing w:val="-6"/>
          <w:sz w:val="24"/>
          <w:szCs w:val="24"/>
          <w:lang w:val="en-US"/>
          <w14:textFill>
            <w14:solidFill>
              <w14:schemeClr w14:val="tx1"/>
            </w14:solidFill>
          </w14:textFill>
        </w:rPr>
        <w:t>50</w:t>
      </w:r>
      <w:r>
        <w:rPr>
          <w:rFonts w:hint="eastAsia"/>
          <w:color w:val="000000" w:themeColor="text1"/>
          <w:spacing w:val="-6"/>
          <w:sz w:val="24"/>
          <w:szCs w:val="24"/>
          <w14:textFill>
            <w14:solidFill>
              <w14:schemeClr w14:val="tx1"/>
            </w14:solidFill>
          </w14:textFill>
        </w:rPr>
        <w:t>万元/次。</w:t>
      </w:r>
    </w:p>
    <w:p>
      <w:pPr>
        <w:numPr>
          <w:ilvl w:val="0"/>
          <w:numId w:val="4"/>
        </w:numPr>
        <w:spacing w:line="360" w:lineRule="auto"/>
        <w:ind w:firstLine="456" w:firstLineChars="200"/>
        <w:rPr>
          <w:rFonts w:ascii="宋体" w:hAnsi="宋体"/>
          <w:color w:val="000000" w:themeColor="text1"/>
          <w:sz w:val="24"/>
          <w:szCs w:val="28"/>
          <w14:textFill>
            <w14:solidFill>
              <w14:schemeClr w14:val="tx1"/>
            </w14:solidFill>
          </w14:textFill>
        </w:rPr>
      </w:pPr>
      <w:r>
        <w:rPr>
          <w:rFonts w:hint="eastAsia"/>
          <w:color w:val="000000" w:themeColor="text1"/>
          <w:spacing w:val="-6"/>
          <w:sz w:val="24"/>
          <w:szCs w:val="24"/>
          <w14:textFill>
            <w14:solidFill>
              <w14:schemeClr w14:val="tx1"/>
            </w14:solidFill>
          </w14:textFill>
        </w:rPr>
        <w:t>所有材料进场前必须经过监理单位、建设单位（代建单位）验收，提供出厂证明文件及有资质检测机构的检测报告，否则对施工方按照合同进行处罚。</w:t>
      </w:r>
    </w:p>
    <w:p>
      <w:pPr>
        <w:numPr>
          <w:ilvl w:val="0"/>
          <w:numId w:val="4"/>
        </w:num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w:t>
      </w:r>
      <w:r>
        <w:rPr>
          <w:rFonts w:hint="eastAsia" w:ascii="宋体" w:hAnsi="宋体"/>
          <w:color w:val="000000" w:themeColor="text1"/>
          <w:sz w:val="24"/>
          <w:szCs w:val="28"/>
          <w:highlight w:val="none"/>
          <w14:textFill>
            <w14:solidFill>
              <w14:schemeClr w14:val="tx1"/>
            </w14:solidFill>
          </w14:textFill>
        </w:rPr>
        <w:t>约金。</w:t>
      </w:r>
    </w:p>
    <w:p>
      <w:pPr>
        <w:numPr>
          <w:ilvl w:val="0"/>
          <w:numId w:val="4"/>
        </w:num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本项目部分材料、设施设备可能由招标人提供，中标人需无条件接收并负责实施和看管，相应费用仅考虑人工及安装费用。</w:t>
      </w:r>
    </w:p>
    <w:p>
      <w:pPr>
        <w:numPr>
          <w:ilvl w:val="0"/>
          <w:numId w:val="4"/>
        </w:num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本项目不仅需保证C地块的消防备案验收，同时需提交关于A地块后期消防工程实施的专项方案，以保证后期整个项目消防联动和功能的实现。</w:t>
      </w:r>
    </w:p>
    <w:p>
      <w:pPr>
        <w:spacing w:line="360" w:lineRule="auto"/>
        <w:ind w:firstLine="482" w:firstLineChars="200"/>
        <w:jc w:val="left"/>
        <w:rPr>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三、</w:t>
      </w:r>
      <w:r>
        <w:rPr>
          <w:rFonts w:hint="eastAsia"/>
          <w:b/>
          <w:color w:val="000000" w:themeColor="text1"/>
          <w:sz w:val="24"/>
          <w:szCs w:val="24"/>
          <w:highlight w:val="none"/>
          <w14:textFill>
            <w14:solidFill>
              <w14:schemeClr w14:val="tx1"/>
            </w14:solidFill>
          </w14:textFill>
        </w:rPr>
        <w:t>服务要求</w:t>
      </w:r>
    </w:p>
    <w:p>
      <w:pPr>
        <w:numPr>
          <w:ilvl w:val="0"/>
          <w:numId w:val="5"/>
        </w:numPr>
        <w:spacing w:line="360" w:lineRule="auto"/>
        <w:ind w:firstLine="480" w:firstLineChars="200"/>
        <w:rPr>
          <w:rFonts w:ascii="宋体" w:hAnsi="宋体"/>
          <w:color w:val="000000" w:themeColor="text1"/>
          <w:sz w:val="24"/>
          <w:szCs w:val="28"/>
          <w14:textFill>
            <w14:solidFill>
              <w14:schemeClr w14:val="tx1"/>
            </w14:solidFill>
          </w14:textFill>
        </w:rPr>
      </w:pPr>
      <w:bookmarkStart w:id="79" w:name="_Toc482188644"/>
      <w:r>
        <w:rPr>
          <w:rFonts w:hint="eastAsia" w:ascii="宋体" w:hAnsi="宋体"/>
          <w:color w:val="000000" w:themeColor="text1"/>
          <w:sz w:val="24"/>
          <w:szCs w:val="28"/>
          <w:highlight w:val="none"/>
          <w14:textFill>
            <w14:solidFill>
              <w14:schemeClr w14:val="tx1"/>
            </w14:solidFill>
          </w14:textFill>
        </w:rPr>
        <w:t>中标人须在项目现场或周边设立办公机构，并自行考虑办公场</w:t>
      </w:r>
      <w:r>
        <w:rPr>
          <w:rFonts w:hint="eastAsia" w:ascii="宋体" w:hAnsi="宋体"/>
          <w:color w:val="000000" w:themeColor="text1"/>
          <w:sz w:val="24"/>
          <w:szCs w:val="28"/>
          <w14:textFill>
            <w14:solidFill>
              <w14:schemeClr w14:val="tx1"/>
            </w14:solidFill>
          </w14:textFill>
        </w:rPr>
        <w:t>地。</w:t>
      </w:r>
    </w:p>
    <w:p>
      <w:pPr>
        <w:numPr>
          <w:ilvl w:val="0"/>
          <w:numId w:val="5"/>
        </w:num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中标人接到任务后，两小时内必须到达现场，一日内根据招标人要求的时间节点进行施工计划安排，并上报施工方案，审批后立即组织实施，在规定的工期内保质保量完成。</w:t>
      </w:r>
    </w:p>
    <w:p>
      <w:pPr>
        <w:numPr>
          <w:ilvl w:val="0"/>
          <w:numId w:val="5"/>
        </w:num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施工期间做好成品保护措施，完工后保持场地清洁干净，现场的安全措施到位（有专职安全员在现场）、有防扬尘的措施。</w:t>
      </w:r>
    </w:p>
    <w:p>
      <w:pPr>
        <w:spacing w:line="360" w:lineRule="auto"/>
        <w:ind w:firstLine="482" w:firstLineChars="200"/>
        <w:rPr>
          <w:rFonts w:ascii="宋体" w:hAnsi="宋体" w:cs="仿宋_GB2312"/>
          <w:b/>
          <w:color w:val="000000" w:themeColor="text1"/>
          <w:sz w:val="24"/>
          <w:szCs w:val="24"/>
          <w14:textFill>
            <w14:solidFill>
              <w14:schemeClr w14:val="tx1"/>
            </w14:solidFill>
          </w14:textFill>
        </w:rPr>
      </w:pPr>
      <w:r>
        <w:rPr>
          <w:rFonts w:hint="eastAsia" w:ascii="宋体" w:hAnsi="宋体" w:cs="仿宋_GB2312"/>
          <w:b/>
          <w:color w:val="000000" w:themeColor="text1"/>
          <w:sz w:val="24"/>
          <w:szCs w:val="24"/>
          <w14:textFill>
            <w14:solidFill>
              <w14:schemeClr w14:val="tx1"/>
            </w14:solidFill>
          </w14:textFill>
        </w:rPr>
        <w:t>四、投标要求</w:t>
      </w:r>
    </w:p>
    <w:p>
      <w:pPr>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1.投标人必须有良好的社会信誉，具备履行合同所必需的设备、专业技术和人员。</w:t>
      </w:r>
    </w:p>
    <w:p>
      <w:pPr>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2.投标人须具备保证施工质量的管理体系。</w:t>
      </w:r>
    </w:p>
    <w:p>
      <w:pPr>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3.投标人中标后，在各具体项目施工过程中，应按要求配备相应的项目管理班子和必要的设备。</w:t>
      </w:r>
    </w:p>
    <w:p>
      <w:pPr>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4.具体工期根据项目需求，接建设单位通知，2日内进场进行实质性施工，逾期处罚1万元/次，累计3次不按时进场施工，建设单位有权终止合同，并按合同要求给予违约处罚。</w:t>
      </w:r>
    </w:p>
    <w:p>
      <w:pPr>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5.违约解约情况：</w:t>
      </w:r>
    </w:p>
    <w:p>
      <w:pPr>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（1）中标人拒绝工程达两次；</w:t>
      </w:r>
    </w:p>
    <w:p>
      <w:pPr>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（2）出现质量安全问题并无法及时整改；</w:t>
      </w:r>
    </w:p>
    <w:p>
      <w:pPr>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（3）累计三次不及时进场施工；</w:t>
      </w:r>
    </w:p>
    <w:p>
      <w:pPr>
        <w:spacing w:line="360" w:lineRule="auto"/>
        <w:ind w:firstLine="480" w:firstLineChars="200"/>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（4）擅自更换项目主要负责人。</w:t>
      </w:r>
    </w:p>
    <w:p>
      <w:pPr>
        <w:spacing w:line="360"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6.其它要求：项目经理或其雇员不遵守合同规定擅自离岗或缺勤或不能胜任工作或危害安全，招标人代表有权要求更换，中标人必须在3日内更换；原人选未经招标人许可不得再进入本项目。属于保修范围、内容的项目，中标人应当在接到保修通知之日起3天内派人保修。中标人不在约定期限内派人保修的，招标人可以委托他人修理，费用由中标人承担。</w:t>
      </w:r>
    </w:p>
    <w:p>
      <w:pPr>
        <w:autoSpaceDE w:val="0"/>
        <w:autoSpaceDN w:val="0"/>
        <w:adjustRightInd w:val="0"/>
        <w:spacing w:line="360" w:lineRule="auto"/>
        <w:ind w:firstLine="477" w:firstLineChars="198"/>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五、报价要求</w:t>
      </w:r>
    </w:p>
    <w:p>
      <w:pPr>
        <w:autoSpaceDE w:val="0"/>
        <w:autoSpaceDN w:val="0"/>
        <w:adjustRightInd w:val="0"/>
        <w:spacing w:line="360" w:lineRule="auto"/>
        <w:ind w:firstLine="477" w:firstLineChars="198"/>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本项目采用固定费率，费率为90%。</w:t>
      </w:r>
      <w:r>
        <w:rPr>
          <w:rFonts w:hint="eastAsia" w:ascii="宋体" w:hAnsi="宋体"/>
          <w:color w:val="000000" w:themeColor="text1"/>
          <w:sz w:val="24"/>
          <w:szCs w:val="24"/>
          <w14:textFill>
            <w14:solidFill>
              <w14:schemeClr w14:val="tx1"/>
            </w14:solidFill>
          </w14:textFill>
        </w:rPr>
        <w:t>固定费率是定标及签订合同的依据。</w:t>
      </w:r>
    </w:p>
    <w:p>
      <w:pPr>
        <w:adjustRightInd w:val="0"/>
        <w:snapToGrid w:val="0"/>
        <w:spacing w:line="360" w:lineRule="auto"/>
        <w:ind w:right="-10"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结算方式：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单个零星工程结算价=依据招标文件规定的方法计算得出的工程竣工审计价×结算费率。</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中工程竣工审计价为审计部门依据相关定额，根据实际完成工程量计算得出，该审计价不得下浮。结算价为工程竣工后招标人实际应当支付的价款，是中标人编制的工程结算经业务委托审计后，在工程竣工审计价的基础上再乘以固定结算费率计算得出。</w:t>
      </w:r>
      <w:r>
        <w:rPr>
          <w:rFonts w:hint="eastAsia"/>
          <w:b/>
          <w:bCs/>
          <w:color w:val="000000" w:themeColor="text1"/>
          <w:spacing w:val="-6"/>
          <w:sz w:val="24"/>
          <w:szCs w:val="24"/>
          <w:lang w:val="zh-CN"/>
          <w14:textFill>
            <w14:solidFill>
              <w14:schemeClr w14:val="tx1"/>
            </w14:solidFill>
          </w14:textFill>
        </w:rPr>
        <w:t>主要材料及设备参与下浮</w:t>
      </w:r>
      <w:r>
        <w:rPr>
          <w:rFonts w:hint="eastAsia" w:ascii="宋体" w:hAnsi="宋体" w:cs="宋体"/>
          <w:b/>
          <w:bCs/>
          <w:color w:val="000000" w:themeColor="text1"/>
          <w:sz w:val="24"/>
          <w:szCs w:val="24"/>
          <w14:textFill>
            <w14:solidFill>
              <w14:schemeClr w14:val="tx1"/>
            </w14:solidFill>
          </w14:textFill>
        </w:rPr>
        <w:t>。</w:t>
      </w:r>
    </w:p>
    <w:p>
      <w:pPr>
        <w:spacing w:line="360"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个零星项目工程结算和审计采用2018版安徽省建设工程计价依据（以下简称2018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w:t>
      </w:r>
      <w:r>
        <w:rPr>
          <w:rFonts w:hint="eastAsia" w:ascii="宋体" w:hAnsi="宋体" w:cs="宋体"/>
          <w:b/>
          <w:bCs/>
          <w:color w:val="000000" w:themeColor="text1"/>
          <w:sz w:val="24"/>
          <w:szCs w:val="24"/>
          <w14:textFill>
            <w14:solidFill>
              <w14:schemeClr w14:val="tx1"/>
            </w14:solidFill>
          </w14:textFill>
        </w:rPr>
        <w:t>有品牌要求的材料或市场价格信息中没有的材料由建设单位组织相关单位进行市场询价确定。</w:t>
      </w:r>
      <w:bookmarkEnd w:id="79"/>
      <w:r>
        <w:rPr>
          <w:rFonts w:hint="eastAsia" w:ascii="宋体" w:hAnsi="宋体" w:cs="宋体"/>
          <w:b/>
          <w:bCs/>
          <w:color w:val="000000" w:themeColor="text1"/>
          <w:sz w:val="24"/>
          <w:szCs w:val="24"/>
          <w14:textFill>
            <w14:solidFill>
              <w14:schemeClr w14:val="tx1"/>
            </w14:solidFill>
          </w14:textFill>
        </w:rPr>
        <w:t>本项目履约期内，定额标准有调整的，招标人保留调整的权利。</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七、任务下发原则及其它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1.服务期内，具体项目按以下原则进行分配：</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（1）原则上采取按项目具体情况下发任务单，招标人保留根据履约情况及各项目自身特殊情况进行调配的权力。</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（2）招标人不保证中标人在服务期内的分配的项目最低数量，投标人自行考虑风险。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（3）服务期内，特殊情况，招标人有选择另行分配的权利。项目分配以招标人下发的书面通知为准。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2.本项目总投资估算约350万元为暂定金额，具体以实际完成工作量及审计决算为准，且完成本项目所有工程内容不得超过总投资金额。</w:t>
      </w:r>
    </w:p>
    <w:p>
      <w:pPr>
        <w:rPr>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pPr>
        <w:pStyle w:val="4"/>
        <w:spacing w:before="0" w:line="500" w:lineRule="exact"/>
        <w:ind w:firstLine="0"/>
        <w:rPr>
          <w:rFonts w:ascii="宋体" w:hAnsi="宋体" w:eastAsia="宋体"/>
          <w:color w:val="000000" w:themeColor="text1"/>
          <w14:textFill>
            <w14:solidFill>
              <w14:schemeClr w14:val="tx1"/>
            </w14:solidFill>
          </w14:textFill>
        </w:rPr>
      </w:pPr>
      <w:bookmarkStart w:id="80" w:name="_Toc122103686"/>
      <w:r>
        <w:rPr>
          <w:rFonts w:hint="eastAsia" w:ascii="宋体" w:hAnsi="宋体" w:eastAsia="宋体"/>
          <w:color w:val="000000" w:themeColor="text1"/>
          <w14:textFill>
            <w14:solidFill>
              <w14:schemeClr w14:val="tx1"/>
            </w14:solidFill>
          </w14:textFill>
        </w:rPr>
        <w:t>第五章  评标办法</w:t>
      </w:r>
      <w:bookmarkEnd w:id="61"/>
      <w:bookmarkEnd w:id="80"/>
      <w:bookmarkStart w:id="81" w:name="_Toc220232391"/>
    </w:p>
    <w:p>
      <w:pPr>
        <w:adjustRightInd w:val="0"/>
        <w:snapToGrid w:val="0"/>
        <w:spacing w:line="360" w:lineRule="auto"/>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为了做好</w:t>
      </w:r>
      <w:r>
        <w:rPr>
          <w:rFonts w:hint="eastAsia" w:ascii="宋体" w:hAnsi="宋体"/>
          <w:b/>
          <w:color w:val="000000" w:themeColor="text1"/>
          <w:sz w:val="24"/>
          <w:szCs w:val="24"/>
          <w14:textFill>
            <w14:solidFill>
              <w14:schemeClr w14:val="tx1"/>
            </w14:solidFill>
          </w14:textFill>
        </w:rPr>
        <w:t>合肥国际人才公寓消防工程应急施工项目（项目编号：2022WLBLZB00085号）</w:t>
      </w:r>
      <w:r>
        <w:rPr>
          <w:rFonts w:hint="eastAsia" w:ascii="宋体" w:hAnsi="宋体"/>
          <w:color w:val="000000" w:themeColor="text1"/>
          <w:sz w:val="24"/>
          <w:szCs w:val="24"/>
          <w14:textFill>
            <w14:solidFill>
              <w14:schemeClr w14:val="tx1"/>
            </w14:solidFill>
          </w14:textFill>
        </w:rPr>
        <w:t>的招标</w:t>
      </w:r>
      <w:r>
        <w:rPr>
          <w:rFonts w:hint="eastAsia" w:ascii="宋体" w:hAnsi="宋体"/>
          <w:color w:val="000000" w:themeColor="text1"/>
          <w:sz w:val="24"/>
          <w14:textFill>
            <w14:solidFill>
              <w14:schemeClr w14:val="tx1"/>
            </w14:solidFill>
          </w14:textFill>
        </w:rPr>
        <w:t>评标工作，保证项目评审工作的正常有序进行，维护招标人、投标人的合法权益，依据《中华人民共和国招标投标法》</w:t>
      </w:r>
      <w:r>
        <w:rPr>
          <w:rFonts w:hint="eastAsia" w:ascii="宋体" w:hAnsi="宋体" w:cs="宋体-18030"/>
          <w:color w:val="000000" w:themeColor="text1"/>
          <w:sz w:val="24"/>
          <w14:textFill>
            <w14:solidFill>
              <w14:schemeClr w14:val="tx1"/>
            </w14:solidFill>
          </w14:textFill>
        </w:rPr>
        <w:t>、《中华人民共和国招标投标法实施条例》及其它相关法律法规，本着公开、公平、公正的原则，制定评标办法。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b/>
          <w:bCs/>
          <w:color w:val="000000" w:themeColor="text1"/>
          <w:sz w:val="24"/>
          <w:u w:val="single"/>
          <w14:textFill>
            <w14:solidFill>
              <w14:schemeClr w14:val="tx1"/>
            </w14:solidFill>
          </w14:textFill>
        </w:rPr>
        <w:t>综合评分法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500" w:lineRule="exact"/>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b/>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500" w:lineRule="exact"/>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500" w:lineRule="exact"/>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500" w:lineRule="exact"/>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500" w:lineRule="exact"/>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500" w:lineRule="exact"/>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500" w:lineRule="exact"/>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500" w:lineRule="exact"/>
        <w:ind w:right="-10" w:firstLine="482" w:firstLineChars="200"/>
        <w:rPr>
          <w:rFonts w:ascii="宋体" w:hAnsi="宋体"/>
          <w:b/>
          <w:bCs/>
          <w:color w:val="000000" w:themeColor="text1"/>
          <w:sz w:val="24"/>
          <w14:textFill>
            <w14:solidFill>
              <w14:schemeClr w14:val="tx1"/>
            </w14:solidFill>
          </w14:textFill>
        </w:rPr>
      </w:pPr>
      <w:bookmarkStart w:id="82" w:name="_Toc40792203"/>
      <w:r>
        <w:rPr>
          <w:rFonts w:hint="eastAsia" w:ascii="宋体" w:hAnsi="宋体"/>
          <w:b/>
          <w:bCs/>
          <w:color w:val="000000" w:themeColor="text1"/>
          <w:sz w:val="24"/>
          <w14:textFill>
            <w14:solidFill>
              <w14:schemeClr w14:val="tx1"/>
            </w14:solidFill>
          </w14:textFill>
        </w:rPr>
        <w:t>8.评审程序</w:t>
      </w:r>
    </w:p>
    <w:p>
      <w:pPr>
        <w:adjustRightInd w:val="0"/>
        <w:snapToGrid w:val="0"/>
        <w:spacing w:line="500" w:lineRule="exact"/>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本项目采用综合评分法进行评审，在最大限度地满足招标文件实质性要求前提下，按照招标文件中规定的各项因素进行综合评审。</w:t>
      </w:r>
    </w:p>
    <w:p>
      <w:pPr>
        <w:adjustRightInd w:val="0"/>
        <w:spacing w:line="360" w:lineRule="auto"/>
        <w:ind w:right="-11" w:firstLine="422" w:firstLineChars="175"/>
        <w:contextualSpacing/>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pacing w:line="360" w:lineRule="auto"/>
        <w:ind w:right="-11" w:firstLine="420" w:firstLineChars="175"/>
        <w:contextualSpacing/>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7"/>
        <w:tblW w:w="10084"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05"/>
        <w:gridCol w:w="2715"/>
        <w:gridCol w:w="810"/>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0084" w:type="dxa"/>
            <w:gridSpan w:val="5"/>
            <w:vAlign w:val="center"/>
          </w:tcPr>
          <w:p>
            <w:pPr>
              <w:pStyle w:val="10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b/>
                <w:color w:val="000000"/>
              </w:rPr>
              <w:t>项目</w:t>
            </w:r>
            <w:r>
              <w:rPr>
                <w:rFonts w:hint="eastAsia" w:ascii="宋体" w:hAnsi="宋体"/>
                <w:b/>
                <w:color w:val="000000"/>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0" w:type="dxa"/>
            <w:tcBorders>
              <w:bottom w:val="single" w:color="auto" w:sz="4" w:space="0"/>
            </w:tcBorders>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序号</w:t>
            </w:r>
          </w:p>
        </w:tc>
        <w:tc>
          <w:tcPr>
            <w:tcW w:w="2205" w:type="dxa"/>
            <w:tcBorders>
              <w:bottom w:val="single" w:color="auto" w:sz="4" w:space="0"/>
            </w:tcBorders>
            <w:vAlign w:val="center"/>
          </w:tcPr>
          <w:p>
            <w:pPr>
              <w:pStyle w:val="10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指标名称</w:t>
            </w:r>
          </w:p>
        </w:tc>
        <w:tc>
          <w:tcPr>
            <w:tcW w:w="2715" w:type="dxa"/>
            <w:tcBorders>
              <w:bottom w:val="single" w:color="auto" w:sz="4" w:space="0"/>
            </w:tcBorders>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指标要求</w:t>
            </w:r>
          </w:p>
        </w:tc>
        <w:tc>
          <w:tcPr>
            <w:tcW w:w="810" w:type="dxa"/>
            <w:tcBorders>
              <w:bottom w:val="single" w:color="auto" w:sz="4" w:space="0"/>
            </w:tcBorders>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是否通过</w:t>
            </w:r>
          </w:p>
        </w:tc>
        <w:tc>
          <w:tcPr>
            <w:tcW w:w="3574" w:type="dxa"/>
            <w:tcBorders>
              <w:bottom w:val="single" w:color="auto" w:sz="4" w:space="0"/>
            </w:tcBorders>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0" w:type="dxa"/>
            <w:tcBorders>
              <w:bottom w:val="single" w:color="auto" w:sz="4" w:space="0"/>
            </w:tcBorders>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1</w:t>
            </w:r>
          </w:p>
        </w:tc>
        <w:tc>
          <w:tcPr>
            <w:tcW w:w="2205" w:type="dxa"/>
            <w:tcBorders>
              <w:bottom w:val="single" w:color="auto" w:sz="4" w:space="0"/>
            </w:tcBorders>
            <w:vAlign w:val="center"/>
          </w:tcPr>
          <w:p>
            <w:pPr>
              <w:pStyle w:val="161"/>
              <w:spacing w:line="360" w:lineRule="auto"/>
              <w:jc w:val="center"/>
              <w:rPr>
                <w:rFonts w:ascii="宋体" w:hAnsi="宋体" w:eastAsia="宋体"/>
                <w:color w:val="000000"/>
                <w:kern w:val="2"/>
              </w:rPr>
            </w:pPr>
            <w:r>
              <w:rPr>
                <w:rFonts w:ascii="宋体" w:hAnsi="宋体" w:eastAsia="宋体"/>
                <w:color w:val="000000"/>
                <w:kern w:val="2"/>
              </w:rPr>
              <w:t>投标人名称</w:t>
            </w:r>
          </w:p>
        </w:tc>
        <w:tc>
          <w:tcPr>
            <w:tcW w:w="2715" w:type="dxa"/>
            <w:tcBorders>
              <w:bottom w:val="single" w:color="auto" w:sz="4" w:space="0"/>
            </w:tcBorders>
            <w:vAlign w:val="center"/>
          </w:tcPr>
          <w:p>
            <w:pPr>
              <w:pStyle w:val="161"/>
              <w:spacing w:line="360" w:lineRule="auto"/>
              <w:jc w:val="center"/>
              <w:rPr>
                <w:rFonts w:ascii="宋体" w:hAnsi="宋体" w:eastAsia="宋体"/>
                <w:color w:val="000000"/>
                <w:kern w:val="2"/>
              </w:rPr>
            </w:pPr>
            <w:r>
              <w:rPr>
                <w:rFonts w:ascii="宋体" w:hAnsi="宋体" w:eastAsia="宋体"/>
                <w:color w:val="000000"/>
                <w:kern w:val="2"/>
              </w:rPr>
              <w:t>与营业执照一致</w:t>
            </w:r>
          </w:p>
        </w:tc>
        <w:tc>
          <w:tcPr>
            <w:tcW w:w="810" w:type="dxa"/>
            <w:tcBorders>
              <w:bottom w:val="single" w:color="auto" w:sz="4" w:space="0"/>
            </w:tcBorders>
            <w:vAlign w:val="center"/>
          </w:tcPr>
          <w:p>
            <w:pPr>
              <w:adjustRightInd w:val="0"/>
              <w:snapToGrid w:val="0"/>
              <w:spacing w:line="360" w:lineRule="auto"/>
              <w:ind w:right="-10"/>
              <w:jc w:val="center"/>
              <w:rPr>
                <w:rFonts w:ascii="宋体" w:hAnsi="宋体"/>
                <w:color w:val="000000"/>
                <w:sz w:val="24"/>
              </w:rPr>
            </w:pPr>
          </w:p>
        </w:tc>
        <w:tc>
          <w:tcPr>
            <w:tcW w:w="3574" w:type="dxa"/>
            <w:tcBorders>
              <w:bottom w:val="single" w:color="auto" w:sz="4" w:space="0"/>
            </w:tcBorders>
            <w:vAlign w:val="center"/>
          </w:tcPr>
          <w:p>
            <w:pPr>
              <w:adjustRightInd w:val="0"/>
              <w:snapToGrid w:val="0"/>
              <w:spacing w:line="360" w:lineRule="auto"/>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0" w:type="dxa"/>
            <w:tcBorders>
              <w:bottom w:val="single" w:color="auto" w:sz="4" w:space="0"/>
            </w:tcBorders>
            <w:vAlign w:val="center"/>
          </w:tcPr>
          <w:p>
            <w:pPr>
              <w:adjustRightInd w:val="0"/>
              <w:snapToGrid w:val="0"/>
              <w:spacing w:line="360" w:lineRule="auto"/>
              <w:ind w:right="-10"/>
              <w:jc w:val="center"/>
              <w:rPr>
                <w:rFonts w:ascii="宋体" w:hAnsi="宋体"/>
                <w:color w:val="000000"/>
                <w:sz w:val="24"/>
                <w:szCs w:val="24"/>
              </w:rPr>
            </w:pPr>
            <w:r>
              <w:rPr>
                <w:rFonts w:hint="eastAsia" w:ascii="宋体" w:hAnsi="宋体"/>
                <w:color w:val="000000"/>
                <w:sz w:val="24"/>
                <w:szCs w:val="24"/>
              </w:rPr>
              <w:t>2</w:t>
            </w:r>
          </w:p>
        </w:tc>
        <w:tc>
          <w:tcPr>
            <w:tcW w:w="2205" w:type="dxa"/>
            <w:tcBorders>
              <w:bottom w:val="single" w:color="auto" w:sz="4" w:space="0"/>
            </w:tcBorders>
            <w:vAlign w:val="center"/>
          </w:tcPr>
          <w:p>
            <w:pPr>
              <w:spacing w:line="420" w:lineRule="exact"/>
              <w:ind w:right="-11"/>
              <w:jc w:val="center"/>
              <w:rPr>
                <w:rFonts w:ascii="宋体" w:hAnsi="宋体"/>
                <w:color w:val="000000"/>
                <w:sz w:val="24"/>
                <w:szCs w:val="24"/>
              </w:rPr>
            </w:pPr>
            <w:r>
              <w:rPr>
                <w:rFonts w:hint="eastAsia" w:ascii="宋体" w:hAnsi="宋体"/>
                <w:color w:val="000000"/>
                <w:sz w:val="24"/>
                <w:szCs w:val="24"/>
              </w:rPr>
              <w:t>营业执照或事业单位法人证书</w:t>
            </w:r>
          </w:p>
        </w:tc>
        <w:tc>
          <w:tcPr>
            <w:tcW w:w="2715" w:type="dxa"/>
            <w:tcBorders>
              <w:bottom w:val="single" w:color="auto" w:sz="4" w:space="0"/>
            </w:tcBorders>
            <w:vAlign w:val="center"/>
          </w:tcPr>
          <w:p>
            <w:pPr>
              <w:spacing w:line="420" w:lineRule="exact"/>
              <w:ind w:right="-11"/>
              <w:jc w:val="center"/>
              <w:rPr>
                <w:rFonts w:ascii="宋体" w:hAnsi="宋体"/>
                <w:color w:val="000000"/>
                <w:sz w:val="24"/>
                <w:szCs w:val="24"/>
              </w:rPr>
            </w:pPr>
            <w:r>
              <w:rPr>
                <w:rFonts w:hint="eastAsia" w:ascii="宋体" w:hAnsi="宋体"/>
                <w:color w:val="000000"/>
                <w:sz w:val="24"/>
                <w:szCs w:val="24"/>
              </w:rPr>
              <w:t>合法有效</w:t>
            </w:r>
          </w:p>
        </w:tc>
        <w:tc>
          <w:tcPr>
            <w:tcW w:w="810" w:type="dxa"/>
            <w:tcBorders>
              <w:bottom w:val="single" w:color="auto" w:sz="4" w:space="0"/>
            </w:tcBorders>
            <w:vAlign w:val="center"/>
          </w:tcPr>
          <w:p>
            <w:pPr>
              <w:adjustRightInd w:val="0"/>
              <w:snapToGrid w:val="0"/>
              <w:spacing w:line="420" w:lineRule="exact"/>
              <w:ind w:right="-11"/>
              <w:jc w:val="center"/>
              <w:rPr>
                <w:rFonts w:ascii="宋体" w:hAnsi="宋体"/>
                <w:color w:val="000000"/>
                <w:sz w:val="24"/>
                <w:szCs w:val="24"/>
              </w:rPr>
            </w:pPr>
          </w:p>
        </w:tc>
        <w:tc>
          <w:tcPr>
            <w:tcW w:w="3574" w:type="dxa"/>
            <w:tcBorders>
              <w:bottom w:val="single" w:color="auto" w:sz="4" w:space="0"/>
            </w:tcBorders>
            <w:vAlign w:val="center"/>
          </w:tcPr>
          <w:p>
            <w:pPr>
              <w:adjustRightInd w:val="0"/>
              <w:snapToGrid w:val="0"/>
              <w:spacing w:line="420" w:lineRule="exact"/>
              <w:ind w:right="-11"/>
              <w:jc w:val="left"/>
              <w:rPr>
                <w:rFonts w:ascii="宋体" w:hAnsi="宋体"/>
                <w:color w:val="000000"/>
                <w:sz w:val="24"/>
                <w:szCs w:val="24"/>
              </w:rPr>
            </w:pPr>
            <w:r>
              <w:rPr>
                <w:rFonts w:hint="eastAsia" w:ascii="宋体" w:hAnsi="宋体"/>
                <w:color w:val="000000"/>
                <w:sz w:val="24"/>
                <w:szCs w:val="24"/>
              </w:rPr>
              <w:t>提供有效的营业执照（或事业单位法人证书）的扫描件</w:t>
            </w:r>
            <w:r>
              <w:rPr>
                <w:rFonts w:hint="eastAsia" w:ascii="宋体" w:hAnsi="宋体"/>
                <w:b/>
                <w:bCs/>
                <w:color w:val="000000"/>
                <w:sz w:val="24"/>
                <w:szCs w:val="24"/>
              </w:rPr>
              <w:t>，应完整的体现出营业执照</w:t>
            </w:r>
            <w:r>
              <w:rPr>
                <w:rFonts w:hint="eastAsia" w:ascii="宋体" w:hAnsi="宋体"/>
                <w:b/>
                <w:color w:val="000000"/>
                <w:sz w:val="24"/>
                <w:szCs w:val="24"/>
              </w:rPr>
              <w:t>（或事业单位法人证书）</w:t>
            </w:r>
            <w:r>
              <w:rPr>
                <w:rFonts w:hint="eastAsia" w:ascii="宋体" w:hAnsi="宋体"/>
                <w:b/>
                <w:bCs/>
                <w:color w:val="000000"/>
                <w:sz w:val="24"/>
                <w:szCs w:val="24"/>
              </w:rPr>
              <w:t>的全部内容。</w:t>
            </w:r>
            <w:r>
              <w:rPr>
                <w:rFonts w:hint="eastAsia" w:ascii="宋体" w:hAnsi="宋体"/>
                <w:bCs/>
                <w:color w:val="000000"/>
                <w:sz w:val="24"/>
                <w:szCs w:val="24"/>
              </w:rPr>
              <w:t>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3</w:t>
            </w:r>
          </w:p>
        </w:tc>
        <w:tc>
          <w:tcPr>
            <w:tcW w:w="2205" w:type="dxa"/>
            <w:vAlign w:val="center"/>
          </w:tcPr>
          <w:p>
            <w:pPr>
              <w:spacing w:after="50" w:line="360" w:lineRule="auto"/>
              <w:ind w:right="-10"/>
              <w:jc w:val="center"/>
              <w:rPr>
                <w:rFonts w:ascii="宋体" w:hAnsi="宋体"/>
                <w:color w:val="000000"/>
                <w:sz w:val="24"/>
                <w:szCs w:val="28"/>
              </w:rPr>
            </w:pPr>
            <w:r>
              <w:rPr>
                <w:rFonts w:hint="eastAsia" w:ascii="宋体" w:hAnsi="宋体"/>
                <w:color w:val="000000"/>
                <w:sz w:val="24"/>
                <w:szCs w:val="28"/>
              </w:rPr>
              <w:t>投标函</w:t>
            </w:r>
          </w:p>
        </w:tc>
        <w:tc>
          <w:tcPr>
            <w:tcW w:w="2715" w:type="dxa"/>
            <w:vAlign w:val="center"/>
          </w:tcPr>
          <w:p>
            <w:pPr>
              <w:spacing w:after="50" w:line="360" w:lineRule="auto"/>
              <w:ind w:right="-10"/>
              <w:jc w:val="center"/>
              <w:rPr>
                <w:rFonts w:ascii="宋体" w:hAnsi="宋体"/>
                <w:color w:val="000000"/>
                <w:sz w:val="24"/>
                <w:szCs w:val="28"/>
              </w:rPr>
            </w:pPr>
            <w:r>
              <w:rPr>
                <w:rFonts w:hint="eastAsia" w:ascii="宋体" w:hAnsi="宋体"/>
                <w:color w:val="000000"/>
                <w:sz w:val="24"/>
                <w:szCs w:val="28"/>
              </w:rPr>
              <w:t>符合招标文件要求</w:t>
            </w:r>
          </w:p>
        </w:tc>
        <w:tc>
          <w:tcPr>
            <w:tcW w:w="810" w:type="dxa"/>
            <w:vAlign w:val="center"/>
          </w:tcPr>
          <w:p>
            <w:pPr>
              <w:adjustRightInd w:val="0"/>
              <w:snapToGrid w:val="0"/>
              <w:spacing w:line="360" w:lineRule="auto"/>
              <w:ind w:right="-10"/>
              <w:jc w:val="center"/>
              <w:rPr>
                <w:rFonts w:ascii="宋体" w:hAnsi="宋体"/>
                <w:color w:val="000000"/>
                <w:sz w:val="24"/>
              </w:rPr>
            </w:pPr>
          </w:p>
        </w:tc>
        <w:tc>
          <w:tcPr>
            <w:tcW w:w="3574" w:type="dxa"/>
            <w:vAlign w:val="center"/>
          </w:tcPr>
          <w:p>
            <w:pPr>
              <w:adjustRightInd w:val="0"/>
              <w:snapToGrid w:val="0"/>
              <w:spacing w:line="360" w:lineRule="auto"/>
              <w:ind w:right="-10"/>
              <w:jc w:val="left"/>
              <w:rPr>
                <w:rFonts w:ascii="宋体" w:hAnsi="宋体"/>
                <w:color w:val="000000"/>
                <w:sz w:val="24"/>
              </w:rPr>
            </w:pPr>
            <w:r>
              <w:rPr>
                <w:rFonts w:hint="eastAsia" w:ascii="宋体" w:hAnsi="宋体"/>
                <w:color w:val="000000"/>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4</w:t>
            </w:r>
          </w:p>
        </w:tc>
        <w:tc>
          <w:tcPr>
            <w:tcW w:w="2205" w:type="dxa"/>
            <w:vAlign w:val="center"/>
          </w:tcPr>
          <w:p>
            <w:pPr>
              <w:spacing w:after="50" w:line="360" w:lineRule="auto"/>
              <w:ind w:right="-10"/>
              <w:jc w:val="center"/>
              <w:rPr>
                <w:rFonts w:ascii="宋体" w:hAnsi="宋体"/>
                <w:color w:val="000000"/>
                <w:sz w:val="24"/>
                <w:szCs w:val="28"/>
              </w:rPr>
            </w:pPr>
            <w:r>
              <w:rPr>
                <w:rFonts w:hint="eastAsia" w:ascii="宋体" w:hAnsi="宋体"/>
                <w:color w:val="000000"/>
                <w:sz w:val="24"/>
                <w:szCs w:val="28"/>
              </w:rPr>
              <w:t>投标授权书</w:t>
            </w:r>
          </w:p>
        </w:tc>
        <w:tc>
          <w:tcPr>
            <w:tcW w:w="2715" w:type="dxa"/>
            <w:vAlign w:val="center"/>
          </w:tcPr>
          <w:p>
            <w:pPr>
              <w:spacing w:after="50" w:line="360" w:lineRule="auto"/>
              <w:ind w:right="-10"/>
              <w:jc w:val="center"/>
              <w:rPr>
                <w:rFonts w:ascii="宋体" w:hAnsi="宋体"/>
                <w:color w:val="000000"/>
                <w:sz w:val="24"/>
                <w:szCs w:val="28"/>
              </w:rPr>
            </w:pPr>
            <w:r>
              <w:rPr>
                <w:rFonts w:hint="eastAsia" w:ascii="宋体" w:hAnsi="宋体"/>
                <w:color w:val="000000"/>
                <w:sz w:val="24"/>
                <w:szCs w:val="28"/>
              </w:rPr>
              <w:t>符合招标文件要求</w:t>
            </w:r>
          </w:p>
        </w:tc>
        <w:tc>
          <w:tcPr>
            <w:tcW w:w="810" w:type="dxa"/>
            <w:vAlign w:val="center"/>
          </w:tcPr>
          <w:p>
            <w:pPr>
              <w:adjustRightInd w:val="0"/>
              <w:snapToGrid w:val="0"/>
              <w:spacing w:line="360" w:lineRule="auto"/>
              <w:ind w:right="-10"/>
              <w:jc w:val="center"/>
              <w:rPr>
                <w:rFonts w:ascii="宋体" w:hAnsi="宋体"/>
                <w:color w:val="000000"/>
                <w:sz w:val="24"/>
              </w:rPr>
            </w:pPr>
          </w:p>
        </w:tc>
        <w:tc>
          <w:tcPr>
            <w:tcW w:w="3574" w:type="dxa"/>
            <w:vAlign w:val="center"/>
          </w:tcPr>
          <w:p>
            <w:pPr>
              <w:adjustRightInd w:val="0"/>
              <w:snapToGrid w:val="0"/>
              <w:spacing w:line="360" w:lineRule="auto"/>
              <w:ind w:right="-10"/>
              <w:jc w:val="left"/>
              <w:rPr>
                <w:rFonts w:ascii="宋体" w:hAnsi="宋体"/>
                <w:color w:val="000000"/>
                <w:sz w:val="24"/>
              </w:rPr>
            </w:pPr>
            <w:r>
              <w:rPr>
                <w:rFonts w:hint="eastAsia" w:ascii="宋体" w:hAnsi="宋体"/>
                <w:color w:val="000000"/>
                <w:sz w:val="24"/>
              </w:rPr>
              <w:t>要求详见第七章投标文件格式“投标授权书”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5</w:t>
            </w:r>
          </w:p>
        </w:tc>
        <w:tc>
          <w:tcPr>
            <w:tcW w:w="2205" w:type="dxa"/>
            <w:vAlign w:val="center"/>
          </w:tcPr>
          <w:p>
            <w:pPr>
              <w:spacing w:after="50" w:line="360" w:lineRule="auto"/>
              <w:ind w:right="-10"/>
              <w:jc w:val="center"/>
              <w:rPr>
                <w:rFonts w:ascii="宋体" w:hAnsi="宋体"/>
                <w:color w:val="000000"/>
                <w:sz w:val="24"/>
                <w:szCs w:val="28"/>
              </w:rPr>
            </w:pPr>
            <w:r>
              <w:rPr>
                <w:rFonts w:hint="eastAsia" w:ascii="宋体" w:hAnsi="宋体"/>
                <w:color w:val="000000"/>
                <w:sz w:val="24"/>
                <w:szCs w:val="28"/>
              </w:rPr>
              <w:t>投标人信用记录证明材料</w:t>
            </w:r>
          </w:p>
        </w:tc>
        <w:tc>
          <w:tcPr>
            <w:tcW w:w="2715" w:type="dxa"/>
            <w:vAlign w:val="center"/>
          </w:tcPr>
          <w:p>
            <w:pPr>
              <w:spacing w:after="50" w:line="360" w:lineRule="auto"/>
              <w:ind w:right="-10"/>
              <w:jc w:val="center"/>
              <w:rPr>
                <w:rFonts w:ascii="宋体" w:hAnsi="宋体"/>
                <w:color w:val="000000"/>
                <w:sz w:val="24"/>
                <w:szCs w:val="28"/>
              </w:rPr>
            </w:pPr>
            <w:r>
              <w:rPr>
                <w:rFonts w:hint="eastAsia" w:ascii="宋体" w:hAnsi="宋体"/>
                <w:color w:val="000000"/>
                <w:sz w:val="24"/>
                <w:szCs w:val="28"/>
              </w:rPr>
              <w:t>符合招标文件要求</w:t>
            </w:r>
          </w:p>
        </w:tc>
        <w:tc>
          <w:tcPr>
            <w:tcW w:w="810" w:type="dxa"/>
            <w:vAlign w:val="center"/>
          </w:tcPr>
          <w:p>
            <w:pPr>
              <w:adjustRightInd w:val="0"/>
              <w:snapToGrid w:val="0"/>
              <w:spacing w:line="360" w:lineRule="auto"/>
              <w:ind w:right="-10"/>
              <w:jc w:val="center"/>
              <w:rPr>
                <w:rFonts w:ascii="宋体" w:hAnsi="宋体"/>
                <w:color w:val="000000"/>
                <w:sz w:val="24"/>
              </w:rPr>
            </w:pPr>
          </w:p>
        </w:tc>
        <w:tc>
          <w:tcPr>
            <w:tcW w:w="3574" w:type="dxa"/>
            <w:vAlign w:val="center"/>
          </w:tcPr>
          <w:p>
            <w:pPr>
              <w:adjustRightInd w:val="0"/>
              <w:snapToGrid w:val="0"/>
              <w:spacing w:line="360" w:lineRule="auto"/>
              <w:ind w:right="-10"/>
              <w:jc w:val="left"/>
              <w:rPr>
                <w:rFonts w:ascii="宋体" w:hAnsi="宋体"/>
                <w:color w:val="000000"/>
                <w:sz w:val="24"/>
              </w:rPr>
            </w:pPr>
            <w:r>
              <w:rPr>
                <w:rFonts w:hint="eastAsia" w:ascii="宋体" w:hAnsi="宋体"/>
                <w:color w:val="000000"/>
                <w:sz w:val="24"/>
              </w:rPr>
              <w:t>具体详见</w:t>
            </w:r>
            <w:r>
              <w:rPr>
                <w:rFonts w:hint="eastAsia" w:ascii="宋体" w:hAnsi="宋体"/>
                <w:color w:val="000000"/>
                <w:sz w:val="24"/>
                <w:szCs w:val="24"/>
              </w:rPr>
              <w:t>第七章响应文件格式</w:t>
            </w:r>
            <w:r>
              <w:rPr>
                <w:rFonts w:hint="eastAsia" w:ascii="宋体" w:hAnsi="宋体"/>
                <w:color w:val="000000"/>
                <w:sz w:val="24"/>
              </w:rPr>
              <w:t>“</w:t>
            </w:r>
            <w:r>
              <w:rPr>
                <w:rFonts w:hint="eastAsia" w:ascii="宋体" w:hAnsi="宋体"/>
                <w:color w:val="000000"/>
                <w:sz w:val="24"/>
                <w:szCs w:val="24"/>
              </w:rPr>
              <w:t>投标人信用承诺</w:t>
            </w:r>
            <w:r>
              <w:rPr>
                <w:rFonts w:hint="eastAsia" w:ascii="宋体" w:hAnsi="宋体"/>
                <w:color w:val="000000"/>
                <w:sz w:val="24"/>
              </w:rPr>
              <w:t>”</w:t>
            </w:r>
            <w:r>
              <w:rPr>
                <w:rFonts w:hint="eastAsia" w:ascii="宋体" w:hAnsi="宋体"/>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6</w:t>
            </w:r>
          </w:p>
        </w:tc>
        <w:tc>
          <w:tcPr>
            <w:tcW w:w="2205"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开标一览表</w:t>
            </w:r>
          </w:p>
        </w:tc>
        <w:tc>
          <w:tcPr>
            <w:tcW w:w="2715"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符合招标文件要求</w:t>
            </w:r>
          </w:p>
        </w:tc>
        <w:tc>
          <w:tcPr>
            <w:tcW w:w="810" w:type="dxa"/>
            <w:vAlign w:val="center"/>
          </w:tcPr>
          <w:p>
            <w:pPr>
              <w:adjustRightInd w:val="0"/>
              <w:snapToGrid w:val="0"/>
              <w:spacing w:line="360" w:lineRule="auto"/>
              <w:ind w:right="-10"/>
              <w:jc w:val="center"/>
              <w:rPr>
                <w:rFonts w:ascii="宋体" w:hAnsi="宋体"/>
                <w:color w:val="000000"/>
                <w:sz w:val="24"/>
              </w:rPr>
            </w:pPr>
          </w:p>
        </w:tc>
        <w:tc>
          <w:tcPr>
            <w:tcW w:w="3574"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7</w:t>
            </w:r>
          </w:p>
        </w:tc>
        <w:tc>
          <w:tcPr>
            <w:tcW w:w="2205"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投标报价</w:t>
            </w:r>
          </w:p>
        </w:tc>
        <w:tc>
          <w:tcPr>
            <w:tcW w:w="2715"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符合招标文件要求</w:t>
            </w:r>
          </w:p>
        </w:tc>
        <w:tc>
          <w:tcPr>
            <w:tcW w:w="810" w:type="dxa"/>
            <w:vAlign w:val="center"/>
          </w:tcPr>
          <w:p>
            <w:pPr>
              <w:adjustRightInd w:val="0"/>
              <w:snapToGrid w:val="0"/>
              <w:spacing w:line="360" w:lineRule="auto"/>
              <w:ind w:right="-10"/>
              <w:jc w:val="center"/>
              <w:rPr>
                <w:rFonts w:ascii="宋体" w:hAnsi="宋体"/>
                <w:color w:val="000000"/>
                <w:sz w:val="24"/>
              </w:rPr>
            </w:pPr>
          </w:p>
        </w:tc>
        <w:tc>
          <w:tcPr>
            <w:tcW w:w="3574" w:type="dxa"/>
            <w:vAlign w:val="center"/>
          </w:tcPr>
          <w:p>
            <w:pPr>
              <w:adjustRightInd w:val="0"/>
              <w:snapToGrid w:val="0"/>
              <w:spacing w:line="360" w:lineRule="auto"/>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8</w:t>
            </w:r>
          </w:p>
        </w:tc>
        <w:tc>
          <w:tcPr>
            <w:tcW w:w="2205"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投标人资格</w:t>
            </w:r>
          </w:p>
        </w:tc>
        <w:tc>
          <w:tcPr>
            <w:tcW w:w="2715"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符合招标公告要求</w:t>
            </w:r>
          </w:p>
        </w:tc>
        <w:tc>
          <w:tcPr>
            <w:tcW w:w="810" w:type="dxa"/>
            <w:vAlign w:val="center"/>
          </w:tcPr>
          <w:p>
            <w:pPr>
              <w:adjustRightInd w:val="0"/>
              <w:snapToGrid w:val="0"/>
              <w:spacing w:line="360" w:lineRule="auto"/>
              <w:ind w:right="-10"/>
              <w:jc w:val="center"/>
              <w:rPr>
                <w:rFonts w:ascii="宋体" w:hAnsi="宋体"/>
                <w:color w:val="000000"/>
                <w:sz w:val="24"/>
              </w:rPr>
            </w:pPr>
          </w:p>
        </w:tc>
        <w:tc>
          <w:tcPr>
            <w:tcW w:w="3574"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1.详见第一章投标邀请“投标人资格”；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ascii="宋体" w:hAnsi="宋体"/>
                <w:color w:val="000000"/>
                <w:sz w:val="24"/>
              </w:rPr>
              <w:t>9</w:t>
            </w:r>
          </w:p>
        </w:tc>
        <w:tc>
          <w:tcPr>
            <w:tcW w:w="2205" w:type="dxa"/>
            <w:vAlign w:val="center"/>
          </w:tcPr>
          <w:p>
            <w:pPr>
              <w:autoSpaceDE w:val="0"/>
              <w:autoSpaceDN w:val="0"/>
              <w:adjustRightInd w:val="0"/>
              <w:spacing w:line="400" w:lineRule="exact"/>
              <w:ind w:firstLine="200"/>
              <w:jc w:val="left"/>
              <w:rPr>
                <w:rFonts w:ascii="宋体" w:hAnsi="宋体"/>
                <w:color w:val="000000"/>
                <w:sz w:val="24"/>
                <w:szCs w:val="24"/>
              </w:rPr>
            </w:pPr>
            <w:r>
              <w:rPr>
                <w:rFonts w:hint="eastAsia" w:ascii="宋体" w:hAnsi="宋体"/>
                <w:color w:val="000000"/>
                <w:sz w:val="24"/>
                <w:szCs w:val="24"/>
              </w:rPr>
              <w:t>投标保证金</w:t>
            </w:r>
          </w:p>
        </w:tc>
        <w:tc>
          <w:tcPr>
            <w:tcW w:w="2715" w:type="dxa"/>
            <w:vAlign w:val="center"/>
          </w:tcPr>
          <w:p>
            <w:pPr>
              <w:spacing w:line="400" w:lineRule="exact"/>
              <w:ind w:right="-11"/>
              <w:jc w:val="center"/>
              <w:rPr>
                <w:rFonts w:ascii="宋体" w:hAnsi="宋体"/>
                <w:color w:val="000000"/>
                <w:sz w:val="24"/>
                <w:szCs w:val="28"/>
              </w:rPr>
            </w:pPr>
            <w:r>
              <w:rPr>
                <w:rFonts w:hint="eastAsia" w:ascii="宋体" w:hAnsi="宋体"/>
                <w:color w:val="000000"/>
                <w:sz w:val="24"/>
                <w:szCs w:val="28"/>
              </w:rPr>
              <w:t>符合招标文件要求</w:t>
            </w:r>
          </w:p>
        </w:tc>
        <w:tc>
          <w:tcPr>
            <w:tcW w:w="810" w:type="dxa"/>
            <w:vAlign w:val="center"/>
          </w:tcPr>
          <w:p>
            <w:pPr>
              <w:adjustRightInd w:val="0"/>
              <w:snapToGrid w:val="0"/>
              <w:spacing w:line="360" w:lineRule="auto"/>
              <w:ind w:right="-10"/>
              <w:jc w:val="center"/>
              <w:rPr>
                <w:rFonts w:ascii="宋体" w:hAnsi="宋体"/>
                <w:color w:val="000000"/>
                <w:sz w:val="24"/>
              </w:rPr>
            </w:pPr>
          </w:p>
        </w:tc>
        <w:tc>
          <w:tcPr>
            <w:tcW w:w="3574" w:type="dxa"/>
            <w:vAlign w:val="center"/>
          </w:tcPr>
          <w:p>
            <w:pPr>
              <w:adjustRightInd w:val="0"/>
              <w:snapToGrid w:val="0"/>
              <w:spacing w:line="360" w:lineRule="auto"/>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ascii="宋体" w:hAnsi="宋体"/>
                <w:color w:val="000000"/>
                <w:sz w:val="24"/>
              </w:rPr>
              <w:t>10</w:t>
            </w:r>
          </w:p>
        </w:tc>
        <w:tc>
          <w:tcPr>
            <w:tcW w:w="2205" w:type="dxa"/>
            <w:vAlign w:val="center"/>
          </w:tcPr>
          <w:p>
            <w:pPr>
              <w:autoSpaceDE w:val="0"/>
              <w:autoSpaceDN w:val="0"/>
              <w:adjustRightInd w:val="0"/>
              <w:spacing w:line="400" w:lineRule="exact"/>
              <w:ind w:firstLine="200"/>
              <w:jc w:val="left"/>
              <w:rPr>
                <w:rFonts w:ascii="宋体" w:hAnsi="宋体"/>
                <w:color w:val="000000"/>
                <w:sz w:val="24"/>
                <w:szCs w:val="24"/>
              </w:rPr>
            </w:pPr>
            <w:r>
              <w:rPr>
                <w:rFonts w:hint="eastAsia" w:ascii="宋体" w:hAnsi="宋体"/>
                <w:color w:val="000000"/>
                <w:sz w:val="24"/>
                <w:szCs w:val="24"/>
              </w:rPr>
              <w:t>标书响应情况</w:t>
            </w:r>
          </w:p>
        </w:tc>
        <w:tc>
          <w:tcPr>
            <w:tcW w:w="2715" w:type="dxa"/>
            <w:vAlign w:val="center"/>
          </w:tcPr>
          <w:p>
            <w:pPr>
              <w:autoSpaceDE w:val="0"/>
              <w:autoSpaceDN w:val="0"/>
              <w:adjustRightInd w:val="0"/>
              <w:spacing w:line="400" w:lineRule="exact"/>
              <w:jc w:val="left"/>
              <w:rPr>
                <w:rFonts w:ascii="宋体" w:hAnsi="宋体"/>
                <w:color w:val="000000"/>
                <w:sz w:val="24"/>
                <w:szCs w:val="24"/>
              </w:rPr>
            </w:pPr>
            <w:r>
              <w:rPr>
                <w:rFonts w:hint="eastAsia" w:ascii="宋体" w:hAnsi="宋体"/>
                <w:color w:val="000000"/>
                <w:sz w:val="24"/>
                <w:szCs w:val="24"/>
              </w:rPr>
              <w:t>付款响应、服务期限响应等</w:t>
            </w:r>
          </w:p>
        </w:tc>
        <w:tc>
          <w:tcPr>
            <w:tcW w:w="810" w:type="dxa"/>
            <w:vAlign w:val="center"/>
          </w:tcPr>
          <w:p>
            <w:pPr>
              <w:adjustRightInd w:val="0"/>
              <w:snapToGrid w:val="0"/>
              <w:spacing w:line="360" w:lineRule="auto"/>
              <w:ind w:right="-10"/>
              <w:jc w:val="center"/>
              <w:rPr>
                <w:rFonts w:ascii="宋体" w:hAnsi="宋体"/>
                <w:color w:val="000000"/>
                <w:sz w:val="24"/>
                <w:szCs w:val="28"/>
              </w:rPr>
            </w:pPr>
          </w:p>
        </w:tc>
        <w:tc>
          <w:tcPr>
            <w:tcW w:w="3574" w:type="dxa"/>
            <w:vAlign w:val="center"/>
          </w:tcPr>
          <w:p>
            <w:pPr>
              <w:adjustRightInd w:val="0"/>
              <w:snapToGrid w:val="0"/>
              <w:spacing w:line="360" w:lineRule="auto"/>
              <w:ind w:right="-10"/>
              <w:jc w:val="center"/>
              <w:rPr>
                <w:rFonts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ascii="宋体" w:hAnsi="宋体"/>
                <w:color w:val="000000"/>
                <w:sz w:val="24"/>
              </w:rPr>
              <w:t>11</w:t>
            </w:r>
          </w:p>
        </w:tc>
        <w:tc>
          <w:tcPr>
            <w:tcW w:w="2205" w:type="dxa"/>
            <w:vAlign w:val="center"/>
          </w:tcPr>
          <w:p>
            <w:pPr>
              <w:spacing w:after="50" w:line="360" w:lineRule="auto"/>
              <w:ind w:right="-10"/>
              <w:jc w:val="center"/>
              <w:rPr>
                <w:rFonts w:ascii="宋体" w:hAnsi="宋体"/>
                <w:color w:val="000000"/>
                <w:sz w:val="24"/>
              </w:rPr>
            </w:pPr>
            <w:r>
              <w:rPr>
                <w:rFonts w:hint="eastAsia" w:ascii="宋体" w:hAnsi="宋体"/>
                <w:color w:val="000000"/>
                <w:sz w:val="24"/>
              </w:rPr>
              <w:t>标书规范性</w:t>
            </w:r>
          </w:p>
        </w:tc>
        <w:tc>
          <w:tcPr>
            <w:tcW w:w="2715" w:type="dxa"/>
            <w:vAlign w:val="center"/>
          </w:tcPr>
          <w:p>
            <w:pPr>
              <w:pStyle w:val="10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rPr>
              <w:t>无严重的编排混乱、内容不全或字迹模糊辨认不清、前后矛盾情况，对评标无实质性影响的</w:t>
            </w:r>
          </w:p>
        </w:tc>
        <w:tc>
          <w:tcPr>
            <w:tcW w:w="810" w:type="dxa"/>
            <w:vAlign w:val="center"/>
          </w:tcPr>
          <w:p>
            <w:pPr>
              <w:adjustRightInd w:val="0"/>
              <w:snapToGrid w:val="0"/>
              <w:spacing w:line="360" w:lineRule="auto"/>
              <w:ind w:right="-10"/>
              <w:jc w:val="center"/>
              <w:rPr>
                <w:rFonts w:ascii="宋体" w:hAnsi="宋体"/>
                <w:color w:val="000000"/>
                <w:sz w:val="24"/>
                <w:szCs w:val="28"/>
              </w:rPr>
            </w:pPr>
          </w:p>
        </w:tc>
        <w:tc>
          <w:tcPr>
            <w:tcW w:w="3574" w:type="dxa"/>
            <w:vAlign w:val="center"/>
          </w:tcPr>
          <w:p>
            <w:pPr>
              <w:adjustRightInd w:val="0"/>
              <w:snapToGrid w:val="0"/>
              <w:spacing w:line="360" w:lineRule="auto"/>
              <w:ind w:right="-10"/>
              <w:jc w:val="center"/>
              <w:rPr>
                <w:rFonts w:ascii="宋体" w:hAnsi="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Align w:val="center"/>
          </w:tcPr>
          <w:p>
            <w:pPr>
              <w:adjustRightInd w:val="0"/>
              <w:snapToGrid w:val="0"/>
              <w:spacing w:line="360" w:lineRule="auto"/>
              <w:ind w:right="-10"/>
              <w:jc w:val="center"/>
              <w:rPr>
                <w:rFonts w:ascii="宋体" w:hAnsi="宋体"/>
                <w:color w:val="000000"/>
                <w:sz w:val="24"/>
              </w:rPr>
            </w:pPr>
            <w:r>
              <w:rPr>
                <w:rFonts w:hint="eastAsia" w:ascii="宋体" w:hAnsi="宋体"/>
                <w:color w:val="000000"/>
                <w:sz w:val="24"/>
              </w:rPr>
              <w:t>1</w:t>
            </w:r>
            <w:r>
              <w:rPr>
                <w:rFonts w:ascii="宋体" w:hAnsi="宋体"/>
                <w:color w:val="000000"/>
                <w:sz w:val="24"/>
              </w:rPr>
              <w:t>2</w:t>
            </w:r>
          </w:p>
        </w:tc>
        <w:tc>
          <w:tcPr>
            <w:tcW w:w="2205" w:type="dxa"/>
            <w:vAlign w:val="center"/>
          </w:tcPr>
          <w:p>
            <w:pPr>
              <w:spacing w:after="50" w:line="360" w:lineRule="auto"/>
              <w:ind w:right="-10"/>
              <w:jc w:val="center"/>
              <w:rPr>
                <w:rFonts w:ascii="宋体" w:hAnsi="宋体"/>
                <w:color w:val="000000"/>
                <w:sz w:val="24"/>
                <w:szCs w:val="28"/>
              </w:rPr>
            </w:pPr>
            <w:r>
              <w:rPr>
                <w:rFonts w:hint="eastAsia" w:ascii="宋体" w:hAnsi="宋体"/>
                <w:color w:val="000000"/>
                <w:sz w:val="24"/>
                <w:szCs w:val="28"/>
              </w:rPr>
              <w:t>其他要求</w:t>
            </w:r>
          </w:p>
        </w:tc>
        <w:tc>
          <w:tcPr>
            <w:tcW w:w="2715" w:type="dxa"/>
            <w:vAlign w:val="center"/>
          </w:tcPr>
          <w:p>
            <w:pPr>
              <w:spacing w:after="50" w:line="360" w:lineRule="auto"/>
              <w:ind w:right="-10"/>
              <w:jc w:val="center"/>
              <w:rPr>
                <w:rFonts w:ascii="宋体" w:hAnsi="宋体"/>
                <w:color w:val="000000"/>
                <w:sz w:val="24"/>
                <w:szCs w:val="28"/>
              </w:rPr>
            </w:pPr>
            <w:r>
              <w:rPr>
                <w:rFonts w:hint="eastAsia" w:ascii="宋体" w:hAnsi="宋体"/>
                <w:color w:val="000000"/>
                <w:sz w:val="24"/>
                <w:szCs w:val="28"/>
              </w:rPr>
              <w:t>上述指标中未列出，但国家相关法律法规或招标文件有明确规定的</w:t>
            </w:r>
          </w:p>
        </w:tc>
        <w:tc>
          <w:tcPr>
            <w:tcW w:w="810" w:type="dxa"/>
            <w:vAlign w:val="center"/>
          </w:tcPr>
          <w:p>
            <w:pPr>
              <w:adjustRightInd w:val="0"/>
              <w:snapToGrid w:val="0"/>
              <w:spacing w:line="360" w:lineRule="auto"/>
              <w:ind w:right="-10"/>
              <w:jc w:val="center"/>
              <w:rPr>
                <w:rFonts w:ascii="宋体" w:hAnsi="宋体"/>
                <w:color w:val="000000"/>
                <w:sz w:val="24"/>
              </w:rPr>
            </w:pPr>
          </w:p>
        </w:tc>
        <w:tc>
          <w:tcPr>
            <w:tcW w:w="3574" w:type="dxa"/>
            <w:vAlign w:val="center"/>
          </w:tcPr>
          <w:p>
            <w:pPr>
              <w:adjustRightInd w:val="0"/>
              <w:snapToGrid w:val="0"/>
              <w:spacing w:line="360" w:lineRule="auto"/>
              <w:ind w:right="-1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8" w:hRule="atLeast"/>
        </w:trPr>
        <w:tc>
          <w:tcPr>
            <w:tcW w:w="10084" w:type="dxa"/>
            <w:gridSpan w:val="5"/>
            <w:vAlign w:val="center"/>
          </w:tcPr>
          <w:p>
            <w:pPr>
              <w:spacing w:before="139" w:line="400" w:lineRule="exact"/>
              <w:rPr>
                <w:rFonts w:ascii="宋体" w:hAnsi="宋体"/>
                <w:color w:val="000000"/>
                <w:sz w:val="24"/>
                <w:szCs w:val="28"/>
              </w:rPr>
            </w:pPr>
            <w:r>
              <w:rPr>
                <w:rFonts w:hint="eastAsia" w:ascii="宋体" w:hAnsi="宋体"/>
                <w:color w:val="000000"/>
                <w:sz w:val="24"/>
                <w:szCs w:val="20"/>
              </w:rPr>
              <w:t>评</w:t>
            </w:r>
            <w:r>
              <w:rPr>
                <w:rFonts w:hint="eastAsia" w:ascii="宋体" w:hAnsi="宋体"/>
                <w:color w:val="000000"/>
                <w:sz w:val="24"/>
                <w:szCs w:val="28"/>
              </w:rPr>
              <w:t>审指标通过标准：</w:t>
            </w:r>
          </w:p>
          <w:p>
            <w:pPr>
              <w:spacing w:before="139" w:line="360" w:lineRule="auto"/>
              <w:rPr>
                <w:rFonts w:ascii="宋体" w:hAnsi="宋体"/>
                <w:color w:val="000000"/>
                <w:sz w:val="24"/>
                <w:szCs w:val="28"/>
              </w:rPr>
            </w:pPr>
            <w:r>
              <w:rPr>
                <w:rFonts w:hint="eastAsia" w:ascii="宋体" w:hAnsi="宋体"/>
                <w:color w:val="000000"/>
                <w:sz w:val="24"/>
                <w:szCs w:val="28"/>
              </w:rPr>
              <w:t>（1）资格审查采用定性方法，符合性评审，所有评审选项必须全部通过方为合格。</w:t>
            </w:r>
          </w:p>
          <w:p>
            <w:pPr>
              <w:adjustRightInd w:val="0"/>
              <w:snapToGrid w:val="0"/>
              <w:spacing w:line="360" w:lineRule="auto"/>
              <w:ind w:right="-10"/>
              <w:rPr>
                <w:rFonts w:ascii="宋体" w:hAnsi="宋体"/>
                <w:color w:val="000000"/>
                <w:sz w:val="24"/>
                <w:szCs w:val="28"/>
              </w:rPr>
            </w:pPr>
            <w:r>
              <w:rPr>
                <w:rFonts w:hint="eastAsia" w:ascii="宋体" w:hAnsi="宋体"/>
                <w:color w:val="000000"/>
                <w:sz w:val="24"/>
                <w:szCs w:val="28"/>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rPr>
                <w:rFonts w:ascii="宋体" w:hAnsi="宋体"/>
                <w:color w:val="000000"/>
                <w:sz w:val="24"/>
                <w:szCs w:val="28"/>
              </w:rPr>
            </w:pPr>
            <w:r>
              <w:rPr>
                <w:rFonts w:hint="eastAsia" w:ascii="宋体" w:hAnsi="宋体"/>
                <w:color w:val="000000"/>
                <w:sz w:val="24"/>
                <w:szCs w:val="28"/>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000000"/>
                <w:sz w:val="24"/>
              </w:rPr>
            </w:pPr>
            <w:r>
              <w:rPr>
                <w:rFonts w:hint="eastAsia" w:ascii="宋体" w:hAnsi="宋体"/>
                <w:color w:val="000000"/>
                <w:sz w:val="24"/>
                <w:szCs w:val="28"/>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pacing w:line="360" w:lineRule="auto"/>
        <w:ind w:right="-11" w:firstLine="420" w:firstLineChars="175"/>
        <w:contextualSpacing/>
        <w:rPr>
          <w:rFonts w:ascii="宋体" w:hAnsi="宋体"/>
          <w:bCs/>
          <w:color w:val="000000" w:themeColor="text1"/>
          <w:sz w:val="24"/>
          <w:szCs w:val="24"/>
          <w14:textFill>
            <w14:solidFill>
              <w14:schemeClr w14:val="tx1"/>
            </w14:solidFill>
          </w14:textFill>
        </w:rPr>
      </w:pPr>
    </w:p>
    <w:bookmarkEnd w:id="82"/>
    <w:p>
      <w:pPr>
        <w:adjustRightInd w:val="0"/>
        <w:snapToGrid w:val="0"/>
        <w:spacing w:line="360" w:lineRule="auto"/>
        <w:ind w:right="-10" w:firstLine="422" w:firstLineChars="175"/>
        <w:rPr>
          <w:rFonts w:ascii="宋体" w:hAnsi="宋体"/>
          <w:b/>
          <w:color w:val="000000" w:themeColor="text1"/>
          <w:sz w:val="24"/>
          <w14:textFill>
            <w14:solidFill>
              <w14:schemeClr w14:val="tx1"/>
            </w14:solidFill>
          </w14:textFill>
        </w:rPr>
      </w:pPr>
      <w:bookmarkStart w:id="83" w:name="_Toc535241125"/>
      <w:bookmarkStart w:id="84" w:name="_Toc460660192"/>
      <w:bookmarkStart w:id="85" w:name="_Toc535316017"/>
      <w:r>
        <w:rPr>
          <w:rFonts w:hint="eastAsia" w:ascii="宋体" w:hAnsi="宋体"/>
          <w:b/>
          <w:color w:val="000000" w:themeColor="text1"/>
          <w:sz w:val="24"/>
          <w14:textFill>
            <w14:solidFill>
              <w14:schemeClr w14:val="tx1"/>
            </w14:solidFill>
          </w14:textFill>
        </w:rPr>
        <w:t>8</w:t>
      </w: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详细评审</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bookmarkStart w:id="86" w:name="_Hlk514734883"/>
      <w:r>
        <w:rPr>
          <w:rFonts w:hint="eastAsia" w:ascii="宋体" w:hAnsi="宋体"/>
          <w:bCs/>
          <w:color w:val="000000" w:themeColor="text1"/>
          <w:sz w:val="24"/>
          <w14:textFill>
            <w14:solidFill>
              <w14:schemeClr w14:val="tx1"/>
            </w14:solidFill>
          </w14:textFill>
        </w:rPr>
        <w:t>8.2.1评标委员会将对所有通过初审的投标文件进行详细评审，具体如下：</w:t>
      </w:r>
    </w:p>
    <w:p>
      <w:pPr>
        <w:adjustRightInd w:val="0"/>
        <w:snapToGrid w:val="0"/>
        <w:spacing w:line="360" w:lineRule="auto"/>
        <w:ind w:right="-10" w:firstLine="900" w:firstLineChars="3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根据评分的细则，评委应对进入详细评审的所有投标文件进行评分，并分别填写打分表。将投标人每个分值项得分进行汇总并计算出平均值，得到该投标人该分值项的得分。将投标人每个分值项得分进行汇总，得到该投标人的得分。投标人的各项得分均保留小数点后两位（小数点后第三位四舍五入）。</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8.2.2商务、技术部分详细评审指标如下：</w:t>
      </w:r>
      <w:bookmarkEnd w:id="86"/>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67"/>
        <w:tblW w:w="11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37"/>
        <w:gridCol w:w="1356"/>
        <w:gridCol w:w="707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1455" w:type="dxa"/>
            <w:gridSpan w:val="5"/>
            <w:vAlign w:val="center"/>
          </w:tcPr>
          <w:p>
            <w:pPr>
              <w:adjustRightInd w:val="0"/>
              <w:snapToGrid w:val="0"/>
              <w:jc w:val="center"/>
              <w:rPr>
                <w:rFonts w:ascii="宋体" w:hAnsi="宋体" w:cs="宋体"/>
                <w:b/>
                <w:color w:val="000000"/>
                <w:szCs w:val="21"/>
              </w:rPr>
            </w:pPr>
            <w:r>
              <w:rPr>
                <w:rFonts w:hint="eastAsia" w:ascii="宋体" w:hAnsi="宋体" w:cs="宋体"/>
                <w:b/>
                <w:color w:val="000000"/>
                <w:szCs w:val="21"/>
              </w:rPr>
              <w:t>商务、技术部分详细评审表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Align w:val="center"/>
          </w:tcPr>
          <w:p>
            <w:pPr>
              <w:adjustRightInd w:val="0"/>
              <w:snapToGrid w:val="0"/>
              <w:spacing w:line="360" w:lineRule="auto"/>
              <w:jc w:val="center"/>
              <w:rPr>
                <w:rFonts w:ascii="宋体" w:hAnsi="宋体" w:cs="宋体"/>
                <w:b/>
                <w:color w:val="000000"/>
                <w:sz w:val="24"/>
                <w:szCs w:val="24"/>
              </w:rPr>
            </w:pPr>
            <w:r>
              <w:rPr>
                <w:rFonts w:hint="eastAsia" w:ascii="宋体" w:hAnsi="宋体" w:cs="宋体"/>
                <w:b/>
                <w:color w:val="000000"/>
                <w:sz w:val="24"/>
                <w:szCs w:val="24"/>
              </w:rPr>
              <w:t>序号</w:t>
            </w:r>
          </w:p>
        </w:tc>
        <w:tc>
          <w:tcPr>
            <w:tcW w:w="1137" w:type="dxa"/>
            <w:vAlign w:val="center"/>
          </w:tcPr>
          <w:p>
            <w:pPr>
              <w:adjustRightInd w:val="0"/>
              <w:snapToGrid w:val="0"/>
              <w:spacing w:line="360" w:lineRule="auto"/>
              <w:jc w:val="center"/>
              <w:rPr>
                <w:rFonts w:ascii="宋体" w:hAnsi="宋体" w:cs="宋体"/>
                <w:b/>
                <w:color w:val="000000"/>
                <w:sz w:val="24"/>
                <w:szCs w:val="24"/>
              </w:rPr>
            </w:pPr>
          </w:p>
        </w:tc>
        <w:tc>
          <w:tcPr>
            <w:tcW w:w="1356" w:type="dxa"/>
            <w:vAlign w:val="center"/>
          </w:tcPr>
          <w:p>
            <w:pPr>
              <w:adjustRightInd w:val="0"/>
              <w:snapToGrid w:val="0"/>
              <w:spacing w:line="360" w:lineRule="auto"/>
              <w:jc w:val="center"/>
              <w:rPr>
                <w:rFonts w:ascii="宋体" w:hAnsi="宋体" w:cs="宋体"/>
                <w:b/>
                <w:color w:val="000000"/>
                <w:sz w:val="24"/>
                <w:szCs w:val="24"/>
              </w:rPr>
            </w:pPr>
            <w:r>
              <w:rPr>
                <w:rFonts w:hint="eastAsia" w:ascii="宋体" w:hAnsi="宋体" w:cs="宋体"/>
                <w:b/>
                <w:color w:val="000000"/>
                <w:sz w:val="24"/>
                <w:szCs w:val="24"/>
              </w:rPr>
              <w:t>指标</w:t>
            </w:r>
          </w:p>
        </w:tc>
        <w:tc>
          <w:tcPr>
            <w:tcW w:w="7072" w:type="dxa"/>
            <w:vAlign w:val="center"/>
          </w:tcPr>
          <w:p>
            <w:pPr>
              <w:adjustRightInd w:val="0"/>
              <w:snapToGrid w:val="0"/>
              <w:spacing w:line="360" w:lineRule="auto"/>
              <w:ind w:firstLine="482" w:firstLineChars="200"/>
              <w:jc w:val="center"/>
              <w:rPr>
                <w:rFonts w:ascii="宋体" w:hAnsi="宋体" w:cs="宋体"/>
                <w:b/>
                <w:color w:val="000000"/>
                <w:sz w:val="24"/>
                <w:szCs w:val="24"/>
              </w:rPr>
            </w:pPr>
            <w:r>
              <w:rPr>
                <w:rFonts w:hint="eastAsia" w:ascii="宋体" w:hAnsi="宋体" w:cs="宋体"/>
                <w:b/>
                <w:color w:val="000000"/>
                <w:sz w:val="24"/>
                <w:szCs w:val="24"/>
              </w:rPr>
              <w:t>指标描述</w:t>
            </w:r>
          </w:p>
        </w:tc>
        <w:tc>
          <w:tcPr>
            <w:tcW w:w="1155" w:type="dxa"/>
            <w:vAlign w:val="center"/>
          </w:tcPr>
          <w:p>
            <w:pPr>
              <w:adjustRightInd w:val="0"/>
              <w:snapToGrid w:val="0"/>
              <w:spacing w:line="360" w:lineRule="auto"/>
              <w:jc w:val="center"/>
              <w:rPr>
                <w:rFonts w:ascii="宋体" w:hAnsi="宋体" w:cs="宋体"/>
                <w:b/>
                <w:color w:val="000000"/>
                <w:sz w:val="24"/>
                <w:szCs w:val="24"/>
              </w:rPr>
            </w:pPr>
            <w:r>
              <w:rPr>
                <w:rFonts w:hint="eastAsia" w:ascii="宋体" w:hAnsi="宋体" w:cs="宋体"/>
                <w:b/>
                <w:color w:val="000000"/>
                <w:sz w:val="24"/>
                <w:szCs w:val="24"/>
              </w:rPr>
              <w:t>分值</w:t>
            </w:r>
          </w:p>
          <w:p>
            <w:pPr>
              <w:adjustRightInd w:val="0"/>
              <w:snapToGrid w:val="0"/>
              <w:spacing w:line="360" w:lineRule="auto"/>
              <w:jc w:val="center"/>
              <w:rPr>
                <w:rFonts w:ascii="宋体" w:hAnsi="宋体" w:cs="宋体"/>
                <w:b/>
                <w:color w:val="000000"/>
                <w:sz w:val="24"/>
                <w:szCs w:val="24"/>
              </w:rPr>
            </w:pPr>
            <w:r>
              <w:rPr>
                <w:rFonts w:hint="eastAsia" w:ascii="宋体" w:hAnsi="宋体" w:cs="宋体"/>
                <w:b/>
                <w:color w:val="000000"/>
                <w:sz w:val="24"/>
                <w:szCs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35"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1</w:t>
            </w:r>
          </w:p>
        </w:tc>
        <w:tc>
          <w:tcPr>
            <w:tcW w:w="1137" w:type="dxa"/>
            <w:vMerge w:val="restart"/>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商务部分评审标准（</w:t>
            </w:r>
            <w:r>
              <w:rPr>
                <w:rFonts w:ascii="宋体" w:hAnsi="宋体" w:cs="宋体"/>
                <w:b/>
                <w:color w:val="000000"/>
                <w:sz w:val="24"/>
                <w:szCs w:val="24"/>
              </w:rPr>
              <w:t>40</w:t>
            </w:r>
            <w:r>
              <w:rPr>
                <w:rFonts w:hint="eastAsia" w:ascii="宋体" w:hAnsi="宋体" w:cs="宋体"/>
                <w:b/>
                <w:color w:val="000000"/>
                <w:sz w:val="24"/>
                <w:szCs w:val="24"/>
              </w:rPr>
              <w:t>分）</w:t>
            </w: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投标人资信、认证</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投标人具有经国家认证认可监督管理委员会认可的认证机构颁发的有效ISO9001质量管理体系认证、ISO14001认证环境管理体系认证、ISO45001职业健康安全管理体系认证的，每提供一份有效证书得2分，满分</w:t>
            </w:r>
            <w:r>
              <w:rPr>
                <w:rFonts w:ascii="宋体" w:hAnsi="宋体" w:cs="宋体"/>
                <w:color w:val="000000"/>
                <w:sz w:val="24"/>
                <w:szCs w:val="24"/>
              </w:rPr>
              <w:t>6</w:t>
            </w:r>
            <w:r>
              <w:rPr>
                <w:rFonts w:hint="eastAsia" w:ascii="宋体" w:hAnsi="宋体" w:cs="宋体"/>
                <w:color w:val="000000"/>
                <w:sz w:val="24"/>
                <w:szCs w:val="24"/>
              </w:rPr>
              <w:t>分。</w:t>
            </w:r>
          </w:p>
          <w:p>
            <w:pPr>
              <w:spacing w:before="24" w:after="24" w:line="360" w:lineRule="auto"/>
              <w:jc w:val="left"/>
              <w:rPr>
                <w:rFonts w:ascii="宋体" w:hAnsi="宋体" w:cs="宋体"/>
                <w:color w:val="000000"/>
                <w:sz w:val="24"/>
                <w:szCs w:val="24"/>
              </w:rPr>
            </w:pPr>
            <w:r>
              <w:rPr>
                <w:rFonts w:hint="eastAsia" w:ascii="宋体" w:hAnsi="宋体" w:cs="宋体"/>
                <w:b/>
                <w:bCs/>
                <w:color w:val="000000"/>
                <w:sz w:val="24"/>
                <w:szCs w:val="24"/>
              </w:rPr>
              <w:t>注：同类体系认证仅计取一次。投标文件中须提供证书扫描件作为评审依据。</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2</w:t>
            </w:r>
          </w:p>
        </w:tc>
        <w:tc>
          <w:tcPr>
            <w:tcW w:w="1137" w:type="dxa"/>
            <w:vMerge w:val="continue"/>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投标人</w:t>
            </w:r>
          </w:p>
          <w:p>
            <w:pPr>
              <w:spacing w:line="360" w:lineRule="auto"/>
              <w:jc w:val="center"/>
              <w:rPr>
                <w:rFonts w:ascii="宋体" w:hAnsi="宋体" w:cs="宋体"/>
                <w:b/>
                <w:color w:val="000000"/>
                <w:sz w:val="24"/>
                <w:szCs w:val="24"/>
              </w:rPr>
            </w:pPr>
            <w:r>
              <w:rPr>
                <w:rFonts w:hint="eastAsia" w:ascii="宋体" w:hAnsi="宋体" w:cs="宋体"/>
                <w:b/>
                <w:color w:val="000000"/>
                <w:sz w:val="24"/>
                <w:szCs w:val="24"/>
              </w:rPr>
              <w:t>业绩</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自2019年1月1日以来(以验收时间为准)，具有单个合同金额不少于</w:t>
            </w:r>
            <w:r>
              <w:rPr>
                <w:rFonts w:ascii="宋体" w:hAnsi="宋体" w:cs="宋体"/>
                <w:color w:val="000000"/>
                <w:sz w:val="24"/>
                <w:szCs w:val="24"/>
              </w:rPr>
              <w:t>240</w:t>
            </w:r>
            <w:r>
              <w:rPr>
                <w:rFonts w:hint="eastAsia" w:ascii="宋体" w:hAnsi="宋体" w:cs="宋体"/>
                <w:color w:val="000000"/>
                <w:sz w:val="24"/>
                <w:szCs w:val="24"/>
              </w:rPr>
              <w:t>万元及以上的建筑消防工程（不含厂房）施工业绩，每提供一个符合要求的业绩得3分，满分12分。</w:t>
            </w:r>
          </w:p>
          <w:p>
            <w:pPr>
              <w:spacing w:before="24" w:after="24" w:line="360" w:lineRule="auto"/>
              <w:jc w:val="left"/>
              <w:rPr>
                <w:rFonts w:ascii="宋体" w:hAnsi="宋体" w:cs="宋体"/>
                <w:color w:val="000000"/>
                <w:sz w:val="24"/>
                <w:szCs w:val="24"/>
              </w:rPr>
            </w:pPr>
            <w:r>
              <w:rPr>
                <w:rFonts w:hint="eastAsia" w:ascii="宋体" w:hAnsi="宋体" w:cs="宋体"/>
                <w:b/>
                <w:bCs/>
                <w:color w:val="000000"/>
                <w:sz w:val="24"/>
                <w:szCs w:val="24"/>
              </w:rPr>
              <w:t>注：（1）初审业绩不得分；（2）投标文件中须提供业绩证明材料，业绩证明材料要求详见投标人须知前附表。</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735"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3</w:t>
            </w:r>
          </w:p>
        </w:tc>
        <w:tc>
          <w:tcPr>
            <w:tcW w:w="1137" w:type="dxa"/>
            <w:vMerge w:val="continue"/>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人员</w:t>
            </w:r>
          </w:p>
          <w:p>
            <w:pPr>
              <w:spacing w:line="360" w:lineRule="auto"/>
              <w:jc w:val="center"/>
              <w:rPr>
                <w:rFonts w:ascii="宋体" w:hAnsi="宋体" w:cs="宋体"/>
                <w:b/>
                <w:color w:val="000000"/>
                <w:sz w:val="24"/>
                <w:szCs w:val="24"/>
              </w:rPr>
            </w:pPr>
            <w:r>
              <w:rPr>
                <w:rFonts w:hint="eastAsia" w:ascii="宋体" w:hAnsi="宋体" w:cs="宋体"/>
                <w:b/>
                <w:color w:val="000000"/>
                <w:sz w:val="24"/>
                <w:szCs w:val="24"/>
              </w:rPr>
              <w:t>业绩</w:t>
            </w:r>
          </w:p>
        </w:tc>
        <w:tc>
          <w:tcPr>
            <w:tcW w:w="7072" w:type="dxa"/>
            <w:vAlign w:val="center"/>
          </w:tcPr>
          <w:p>
            <w:pPr>
              <w:autoSpaceDE w:val="0"/>
              <w:autoSpaceDN w:val="0"/>
              <w:adjustRightInd w:val="0"/>
              <w:spacing w:line="360" w:lineRule="auto"/>
              <w:jc w:val="left"/>
              <w:rPr>
                <w:rFonts w:ascii="宋体" w:hAnsi="宋体" w:cs="宋体"/>
                <w:color w:val="000000"/>
                <w:sz w:val="24"/>
                <w:szCs w:val="24"/>
              </w:rPr>
            </w:pPr>
            <w:r>
              <w:rPr>
                <w:rFonts w:hint="eastAsia" w:ascii="宋体" w:hAnsi="宋体" w:cs="宋体"/>
                <w:color w:val="000000"/>
                <w:sz w:val="24"/>
                <w:szCs w:val="24"/>
              </w:rPr>
              <w:t>自2019年1月1日(以验收时间为准)以来，拟任项目负责人（项目经理）具有单个合同金额不少于</w:t>
            </w:r>
            <w:r>
              <w:rPr>
                <w:rFonts w:ascii="宋体" w:hAnsi="宋体" w:cs="宋体"/>
                <w:color w:val="000000"/>
                <w:sz w:val="24"/>
                <w:szCs w:val="24"/>
              </w:rPr>
              <w:t>240</w:t>
            </w:r>
            <w:r>
              <w:rPr>
                <w:rFonts w:hint="eastAsia" w:ascii="宋体" w:hAnsi="宋体" w:cs="宋体"/>
                <w:color w:val="000000"/>
                <w:sz w:val="24"/>
                <w:szCs w:val="24"/>
              </w:rPr>
              <w:t>万元及以上的建筑消防工程（不含厂房）施工业绩</w:t>
            </w:r>
            <w:r>
              <w:rPr>
                <w:rFonts w:hint="eastAsia" w:ascii="宋体" w:hAnsi="宋体" w:cs="宋体"/>
                <w:color w:val="000000" w:themeColor="text1"/>
                <w:sz w:val="24"/>
                <w:szCs w:val="24"/>
                <w14:textFill>
                  <w14:solidFill>
                    <w14:schemeClr w14:val="tx1"/>
                  </w14:solidFill>
                </w14:textFill>
              </w:rPr>
              <w:t>（须在业绩证明材料中反映出担任项目负责人或者项目经理）</w:t>
            </w:r>
            <w:r>
              <w:rPr>
                <w:rFonts w:hint="eastAsia" w:ascii="宋体" w:hAnsi="宋体" w:cs="宋体"/>
                <w:color w:val="000000"/>
                <w:sz w:val="24"/>
                <w:szCs w:val="24"/>
              </w:rPr>
              <w:t>，每提供一个符合要求的业绩得3分，满分6分。</w:t>
            </w:r>
          </w:p>
          <w:p>
            <w:pPr>
              <w:spacing w:before="24" w:after="24" w:line="360" w:lineRule="auto"/>
              <w:jc w:val="left"/>
              <w:rPr>
                <w:rFonts w:ascii="宋体" w:hAnsi="宋体" w:cs="宋体"/>
                <w:color w:val="000000"/>
                <w:sz w:val="24"/>
                <w:szCs w:val="24"/>
              </w:rPr>
            </w:pPr>
            <w:r>
              <w:rPr>
                <w:rFonts w:hint="eastAsia" w:ascii="宋体" w:hAnsi="宋体" w:cs="宋体"/>
                <w:b/>
                <w:color w:val="000000"/>
                <w:sz w:val="24"/>
                <w:szCs w:val="24"/>
              </w:rPr>
              <w:t>注：（1）初审业绩不得分；（2）投标文件中须提供业绩证明材料，业绩证明材料要求详见投标人须知前附表。</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735"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4</w:t>
            </w:r>
          </w:p>
        </w:tc>
        <w:tc>
          <w:tcPr>
            <w:tcW w:w="1137" w:type="dxa"/>
            <w:vMerge w:val="continue"/>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拟任项目成员资质</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投标人为本项目配备团队人员满足以下要求：</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1.现场拟派项目负责人（项目经理）具有机电工程专业壹级注册建造师资格证书的，得2分，本子项满分2分。</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2.拟派技术负责人具有高级及以上职称证书的，得2分，本子项满分2分。</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3.拟派项目其他人员具有机电工程专业贰级及以上注册建造师资格或具有中级及以上职称证书的，每提供1名符合要求的人员得2分，本子项满分4分。</w:t>
            </w:r>
          </w:p>
          <w:p>
            <w:pPr>
              <w:spacing w:before="24" w:after="24" w:line="360" w:lineRule="auto"/>
              <w:jc w:val="left"/>
              <w:rPr>
                <w:rFonts w:ascii="宋体" w:hAnsi="宋体" w:cs="宋体"/>
                <w:color w:val="000000"/>
                <w:spacing w:val="15"/>
                <w:w w:val="101"/>
                <w:sz w:val="24"/>
                <w:szCs w:val="24"/>
              </w:rPr>
            </w:pPr>
            <w:r>
              <w:rPr>
                <w:rFonts w:hint="eastAsia" w:ascii="宋体" w:hAnsi="宋体" w:cs="宋体"/>
                <w:b/>
                <w:bCs/>
                <w:color w:val="000000"/>
                <w:sz w:val="24"/>
                <w:szCs w:val="24"/>
              </w:rPr>
              <w:t>注：①投标文件中提供上述人员证书扫描件作为评审依据；②提供近半年内连续三个月投标人为其缴纳的社保证明作为评审依据。社保证明材料详见投标人须知前附表。</w:t>
            </w:r>
            <w:r>
              <w:rPr>
                <w:rFonts w:hint="eastAsia" w:ascii="宋体" w:hAnsi="宋体" w:cs="宋体"/>
                <w:b/>
                <w:bCs/>
                <w:color w:val="000000"/>
                <w:sz w:val="24"/>
                <w:szCs w:val="24"/>
              </w:rPr>
              <w:fldChar w:fldCharType="begin"/>
            </w:r>
            <w:r>
              <w:rPr>
                <w:rFonts w:hint="eastAsia" w:ascii="宋体" w:hAnsi="宋体" w:cs="宋体"/>
                <w:b/>
                <w:bCs/>
                <w:color w:val="000000"/>
                <w:sz w:val="24"/>
                <w:szCs w:val="24"/>
              </w:rPr>
              <w:instrText xml:space="preserve"> = 3 \* GB3 \* MERGEFORMAT </w:instrText>
            </w:r>
            <w:r>
              <w:rPr>
                <w:rFonts w:hint="eastAsia" w:ascii="宋体" w:hAnsi="宋体" w:cs="宋体"/>
                <w:b/>
                <w:bCs/>
                <w:color w:val="000000"/>
                <w:sz w:val="24"/>
                <w:szCs w:val="24"/>
              </w:rPr>
              <w:fldChar w:fldCharType="separate"/>
            </w:r>
            <w:r>
              <w:rPr>
                <w:rFonts w:hint="eastAsia" w:ascii="宋体" w:hAnsi="宋体" w:cs="宋体"/>
                <w:b/>
                <w:bCs/>
                <w:color w:val="000000"/>
                <w:sz w:val="24"/>
                <w:szCs w:val="24"/>
              </w:rPr>
              <w:t>③</w:t>
            </w:r>
            <w:r>
              <w:rPr>
                <w:rFonts w:hint="eastAsia" w:ascii="宋体" w:hAnsi="宋体" w:cs="宋体"/>
                <w:b/>
                <w:bCs/>
                <w:color w:val="000000"/>
                <w:sz w:val="24"/>
                <w:szCs w:val="24"/>
              </w:rPr>
              <w:fldChar w:fldCharType="end"/>
            </w:r>
            <w:r>
              <w:rPr>
                <w:rFonts w:hint="eastAsia" w:ascii="宋体" w:hAnsi="宋体" w:cs="宋体"/>
                <w:b/>
                <w:bCs/>
                <w:color w:val="000000"/>
                <w:sz w:val="24"/>
                <w:szCs w:val="24"/>
              </w:rPr>
              <w:t>同一人具备多种证书的按单项最高得分计算，不重复计算。</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735"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5</w:t>
            </w:r>
          </w:p>
        </w:tc>
        <w:tc>
          <w:tcPr>
            <w:tcW w:w="1137" w:type="dxa"/>
            <w:vMerge w:val="restart"/>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本地化服务能力</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 xml:space="preserve">投标人应具备本项目需要的本地化售后服务能力得4分。 </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本地化服务的能力是指具有以下条件之一：</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（1）在本地注册成立的；</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（2）在本地注册成立分公司的；</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备注：“本地”系指：安徽省合肥市</w:t>
            </w:r>
          </w:p>
          <w:p>
            <w:pPr>
              <w:spacing w:before="24" w:after="24" w:line="360" w:lineRule="auto"/>
              <w:jc w:val="left"/>
              <w:rPr>
                <w:rFonts w:ascii="宋体" w:hAnsi="宋体" w:cs="宋体"/>
                <w:b/>
                <w:bCs/>
                <w:color w:val="000000"/>
                <w:sz w:val="24"/>
                <w:szCs w:val="24"/>
              </w:rPr>
            </w:pPr>
            <w:r>
              <w:rPr>
                <w:rFonts w:hint="eastAsia" w:ascii="宋体" w:hAnsi="宋体" w:cs="宋体"/>
                <w:b/>
                <w:bCs/>
                <w:color w:val="000000"/>
                <w:spacing w:val="-14"/>
                <w:w w:val="101"/>
                <w:sz w:val="24"/>
                <w:szCs w:val="24"/>
              </w:rPr>
              <w:t>注：投标文</w:t>
            </w:r>
            <w:r>
              <w:rPr>
                <w:rFonts w:hint="eastAsia" w:ascii="宋体" w:hAnsi="宋体" w:cs="宋体"/>
                <w:b/>
                <w:bCs/>
                <w:color w:val="000000"/>
                <w:w w:val="101"/>
                <w:sz w:val="24"/>
                <w:szCs w:val="24"/>
              </w:rPr>
              <w:t>件</w:t>
            </w:r>
            <w:r>
              <w:rPr>
                <w:rFonts w:hint="eastAsia" w:ascii="宋体" w:hAnsi="宋体" w:cs="宋体"/>
                <w:b/>
                <w:bCs/>
                <w:color w:val="000000"/>
                <w:spacing w:val="1"/>
                <w:w w:val="101"/>
                <w:sz w:val="24"/>
                <w:szCs w:val="24"/>
              </w:rPr>
              <w:t>中</w:t>
            </w:r>
            <w:r>
              <w:rPr>
                <w:rFonts w:hint="eastAsia" w:ascii="宋体" w:hAnsi="宋体" w:cs="宋体"/>
                <w:b/>
                <w:bCs/>
                <w:color w:val="000000"/>
                <w:w w:val="101"/>
                <w:sz w:val="24"/>
                <w:szCs w:val="24"/>
              </w:rPr>
              <w:t>提</w:t>
            </w:r>
            <w:r>
              <w:rPr>
                <w:rFonts w:hint="eastAsia" w:ascii="宋体" w:hAnsi="宋体" w:cs="宋体"/>
                <w:b/>
                <w:bCs/>
                <w:color w:val="000000"/>
                <w:spacing w:val="15"/>
                <w:w w:val="102"/>
                <w:sz w:val="24"/>
                <w:szCs w:val="24"/>
              </w:rPr>
              <w:t>供营</w:t>
            </w:r>
            <w:r>
              <w:rPr>
                <w:rFonts w:hint="eastAsia" w:ascii="宋体" w:hAnsi="宋体" w:cs="宋体"/>
                <w:b/>
                <w:bCs/>
                <w:color w:val="000000"/>
                <w:w w:val="102"/>
                <w:sz w:val="24"/>
                <w:szCs w:val="24"/>
              </w:rPr>
              <w:t>业</w:t>
            </w:r>
            <w:r>
              <w:rPr>
                <w:rFonts w:hint="eastAsia" w:ascii="宋体" w:hAnsi="宋体" w:cs="宋体"/>
                <w:b/>
                <w:bCs/>
                <w:color w:val="000000"/>
                <w:spacing w:val="1"/>
                <w:w w:val="102"/>
                <w:sz w:val="24"/>
                <w:szCs w:val="24"/>
              </w:rPr>
              <w:t>执</w:t>
            </w:r>
            <w:r>
              <w:rPr>
                <w:rFonts w:hint="eastAsia" w:ascii="宋体" w:hAnsi="宋体" w:cs="宋体"/>
                <w:b/>
                <w:bCs/>
                <w:color w:val="000000"/>
                <w:w w:val="102"/>
                <w:sz w:val="24"/>
                <w:szCs w:val="24"/>
              </w:rPr>
              <w:t>照扫</w:t>
            </w:r>
            <w:r>
              <w:rPr>
                <w:rFonts w:hint="eastAsia" w:ascii="宋体" w:hAnsi="宋体" w:cs="宋体"/>
                <w:b/>
                <w:bCs/>
                <w:color w:val="000000"/>
                <w:spacing w:val="1"/>
                <w:w w:val="102"/>
                <w:sz w:val="24"/>
                <w:szCs w:val="24"/>
              </w:rPr>
              <w:t>描</w:t>
            </w:r>
            <w:r>
              <w:rPr>
                <w:rFonts w:hint="eastAsia" w:ascii="宋体" w:hAnsi="宋体" w:cs="宋体"/>
                <w:b/>
                <w:bCs/>
                <w:color w:val="000000"/>
                <w:w w:val="102"/>
                <w:sz w:val="24"/>
                <w:szCs w:val="24"/>
              </w:rPr>
              <w:t>件</w:t>
            </w:r>
            <w:r>
              <w:rPr>
                <w:rFonts w:hint="eastAsia" w:ascii="宋体" w:hAnsi="宋体" w:cs="宋体"/>
                <w:b/>
                <w:bCs/>
                <w:color w:val="000000"/>
                <w:sz w:val="24"/>
                <w:szCs w:val="24"/>
              </w:rPr>
              <w:t>作为评审依据</w:t>
            </w:r>
            <w:r>
              <w:rPr>
                <w:rFonts w:hint="eastAsia" w:ascii="宋体" w:hAnsi="宋体" w:cs="宋体"/>
                <w:b/>
                <w:bCs/>
                <w:color w:val="000000"/>
                <w:w w:val="102"/>
                <w:sz w:val="24"/>
                <w:szCs w:val="24"/>
              </w:rPr>
              <w:t>。</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735"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6</w:t>
            </w:r>
          </w:p>
        </w:tc>
        <w:tc>
          <w:tcPr>
            <w:tcW w:w="1137" w:type="dxa"/>
            <w:vMerge w:val="continue"/>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服务响应及承诺</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根据投标人提供的服务响应及承诺：</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承诺服务响应时间1小时或应急排障响应时间30分钟以内或奔赴现场时间2小时以内的，得4分。</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其它不得分。</w:t>
            </w:r>
          </w:p>
          <w:p>
            <w:pPr>
              <w:spacing w:line="360" w:lineRule="auto"/>
              <w:ind w:right="288" w:rightChars="137"/>
              <w:jc w:val="left"/>
              <w:rPr>
                <w:rFonts w:ascii="宋体" w:hAnsi="宋体" w:cs="宋体"/>
                <w:color w:val="000000"/>
                <w:sz w:val="24"/>
                <w:szCs w:val="24"/>
              </w:rPr>
            </w:pPr>
            <w:r>
              <w:rPr>
                <w:rFonts w:hint="eastAsia" w:ascii="宋体" w:hAnsi="宋体" w:cs="宋体"/>
                <w:b/>
                <w:color w:val="000000"/>
                <w:sz w:val="24"/>
                <w:szCs w:val="24"/>
              </w:rPr>
              <w:t>注：投标文件中须提供承诺，否则不得分。</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35" w:type="dxa"/>
            <w:vAlign w:val="center"/>
          </w:tcPr>
          <w:p>
            <w:pPr>
              <w:spacing w:line="360" w:lineRule="auto"/>
              <w:jc w:val="center"/>
              <w:rPr>
                <w:rFonts w:ascii="宋体" w:hAnsi="宋体" w:cs="宋体"/>
                <w:b/>
                <w:color w:val="000000"/>
                <w:sz w:val="24"/>
                <w:szCs w:val="24"/>
              </w:rPr>
            </w:pPr>
            <w:r>
              <w:rPr>
                <w:rFonts w:ascii="宋体" w:hAnsi="宋体" w:cs="宋体"/>
                <w:b/>
                <w:color w:val="000000"/>
                <w:sz w:val="24"/>
                <w:szCs w:val="24"/>
              </w:rPr>
              <w:t>7</w:t>
            </w:r>
          </w:p>
        </w:tc>
        <w:tc>
          <w:tcPr>
            <w:tcW w:w="1137" w:type="dxa"/>
            <w:vMerge w:val="restart"/>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技术部分评审标准（</w:t>
            </w:r>
            <w:r>
              <w:rPr>
                <w:rFonts w:ascii="宋体" w:hAnsi="宋体" w:cs="宋体"/>
                <w:b/>
                <w:color w:val="000000"/>
                <w:sz w:val="24"/>
                <w:szCs w:val="24"/>
              </w:rPr>
              <w:t>60</w:t>
            </w:r>
            <w:r>
              <w:rPr>
                <w:rFonts w:hint="eastAsia" w:ascii="宋体" w:hAnsi="宋体" w:cs="宋体"/>
                <w:b/>
                <w:color w:val="000000"/>
                <w:sz w:val="24"/>
                <w:szCs w:val="24"/>
              </w:rPr>
              <w:t>分）</w:t>
            </w: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消防应急施工方案</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投标人结合本项目情况，编写详细的消防应急施工方案，包括但不限于实施总体组织方案、管理方案及制度、各专业的计划服务方案、安全保证措施、质量检验等内容；由评委综合打分。</w:t>
            </w:r>
          </w:p>
          <w:p>
            <w:pPr>
              <w:spacing w:line="360" w:lineRule="auto"/>
              <w:jc w:val="left"/>
              <w:rPr>
                <w:rFonts w:ascii="宋体" w:hAnsi="宋体" w:cs="宋体"/>
                <w:b/>
                <w:color w:val="000000"/>
                <w:sz w:val="24"/>
                <w:szCs w:val="24"/>
              </w:rPr>
            </w:pPr>
            <w:r>
              <w:rPr>
                <w:rFonts w:hint="eastAsia" w:ascii="宋体" w:hAnsi="宋体" w:cs="宋体"/>
                <w:b/>
                <w:color w:val="000000"/>
                <w:sz w:val="24"/>
                <w:szCs w:val="24"/>
              </w:rPr>
              <w:t>优秀得7＜F≤10分；良好得4＜F≤7分；一般得1＜F≤4分，没有的不得分。</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35" w:type="dxa"/>
            <w:vAlign w:val="center"/>
          </w:tcPr>
          <w:p>
            <w:pPr>
              <w:spacing w:line="360" w:lineRule="auto"/>
              <w:jc w:val="center"/>
              <w:rPr>
                <w:rFonts w:ascii="宋体" w:hAnsi="宋体" w:cs="宋体"/>
                <w:b/>
                <w:color w:val="000000"/>
                <w:sz w:val="24"/>
                <w:szCs w:val="24"/>
              </w:rPr>
            </w:pPr>
            <w:r>
              <w:rPr>
                <w:rFonts w:ascii="宋体" w:hAnsi="宋体" w:cs="宋体"/>
                <w:b/>
                <w:color w:val="000000"/>
                <w:sz w:val="24"/>
                <w:szCs w:val="24"/>
              </w:rPr>
              <w:t>8</w:t>
            </w:r>
          </w:p>
        </w:tc>
        <w:tc>
          <w:tcPr>
            <w:tcW w:w="1137" w:type="dxa"/>
            <w:vMerge w:val="continue"/>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施工中重点、难点实施方案</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投标人须针对工程施工中重点和难点编制实施方案，内容包含但不限于技术措施、保证措施、问题分析报告以及解决方案等由评委综合打分。</w:t>
            </w:r>
          </w:p>
          <w:p>
            <w:pPr>
              <w:spacing w:line="360" w:lineRule="auto"/>
              <w:jc w:val="left"/>
              <w:rPr>
                <w:rFonts w:ascii="宋体" w:hAnsi="宋体" w:cs="宋体"/>
                <w:b/>
                <w:color w:val="000000"/>
                <w:sz w:val="24"/>
                <w:szCs w:val="24"/>
              </w:rPr>
            </w:pPr>
            <w:r>
              <w:rPr>
                <w:rFonts w:hint="eastAsia" w:ascii="宋体" w:hAnsi="宋体" w:cs="宋体"/>
                <w:b/>
                <w:color w:val="000000"/>
                <w:sz w:val="24"/>
                <w:szCs w:val="24"/>
              </w:rPr>
              <w:t>优秀得7＜F≤10分；良好得4＜F≤7分；一般得1＜F≤4分，没有的不得分。</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35" w:type="dxa"/>
            <w:vAlign w:val="center"/>
          </w:tcPr>
          <w:p>
            <w:pPr>
              <w:spacing w:line="360" w:lineRule="auto"/>
              <w:jc w:val="center"/>
              <w:rPr>
                <w:rFonts w:ascii="宋体" w:hAnsi="宋体" w:cs="宋体"/>
                <w:b/>
                <w:color w:val="000000"/>
                <w:sz w:val="24"/>
                <w:szCs w:val="24"/>
              </w:rPr>
            </w:pPr>
            <w:r>
              <w:rPr>
                <w:rFonts w:ascii="宋体" w:hAnsi="宋体" w:cs="宋体"/>
                <w:b/>
                <w:color w:val="000000"/>
                <w:sz w:val="24"/>
                <w:szCs w:val="24"/>
              </w:rPr>
              <w:t>9</w:t>
            </w:r>
          </w:p>
        </w:tc>
        <w:tc>
          <w:tcPr>
            <w:tcW w:w="1137" w:type="dxa"/>
            <w:vMerge w:val="continue"/>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系统调试测试方案</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投标人结合本项目情况，编写详细的消防系统调试方案包含：</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1.现有施工的消防系统功能调试检测；</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2.整体消防系统联动调试方案。</w:t>
            </w:r>
          </w:p>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对调试方案内容完整性，逻辑性、科学合理性、针对性、可操作性，由评委综合打分。</w:t>
            </w:r>
          </w:p>
          <w:p>
            <w:pPr>
              <w:spacing w:line="360" w:lineRule="auto"/>
              <w:jc w:val="left"/>
              <w:rPr>
                <w:rFonts w:ascii="宋体" w:hAnsi="宋体" w:cs="宋体"/>
                <w:b/>
                <w:color w:val="000000"/>
                <w:sz w:val="24"/>
                <w:szCs w:val="24"/>
              </w:rPr>
            </w:pPr>
            <w:r>
              <w:rPr>
                <w:rFonts w:hint="eastAsia" w:ascii="宋体" w:hAnsi="宋体" w:cs="宋体"/>
                <w:b/>
                <w:color w:val="000000"/>
                <w:sz w:val="24"/>
                <w:szCs w:val="24"/>
              </w:rPr>
              <w:t>优秀得7＜F≤10分；良好得4＜F≤7分；一般得1＜F≤4分，没有的不得分。</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35" w:type="dxa"/>
            <w:vAlign w:val="center"/>
          </w:tcPr>
          <w:p>
            <w:pPr>
              <w:spacing w:line="360" w:lineRule="auto"/>
              <w:jc w:val="center"/>
              <w:rPr>
                <w:rFonts w:ascii="宋体" w:hAnsi="宋体" w:cs="宋体"/>
                <w:b/>
                <w:color w:val="000000"/>
                <w:sz w:val="24"/>
                <w:szCs w:val="24"/>
              </w:rPr>
            </w:pPr>
            <w:r>
              <w:rPr>
                <w:rFonts w:ascii="宋体" w:hAnsi="宋体" w:cs="宋体"/>
                <w:b/>
                <w:color w:val="000000"/>
                <w:sz w:val="24"/>
                <w:szCs w:val="24"/>
              </w:rPr>
              <w:t>10</w:t>
            </w:r>
          </w:p>
        </w:tc>
        <w:tc>
          <w:tcPr>
            <w:tcW w:w="1137" w:type="dxa"/>
            <w:vMerge w:val="continue"/>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文明施工管理措施</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投标人针对本项目，编制文明施工管理措施方案，提出符合项目实际的安全文明施工措施和建议。由评委综合打分。</w:t>
            </w:r>
          </w:p>
          <w:p>
            <w:pPr>
              <w:spacing w:line="360" w:lineRule="auto"/>
              <w:jc w:val="left"/>
              <w:rPr>
                <w:rFonts w:ascii="宋体" w:hAnsi="宋体" w:cs="宋体"/>
                <w:b/>
                <w:color w:val="000000"/>
                <w:sz w:val="24"/>
                <w:szCs w:val="24"/>
              </w:rPr>
            </w:pPr>
            <w:r>
              <w:rPr>
                <w:rFonts w:hint="eastAsia" w:ascii="宋体" w:hAnsi="宋体" w:cs="宋体"/>
                <w:b/>
                <w:color w:val="000000"/>
                <w:sz w:val="24"/>
                <w:szCs w:val="24"/>
              </w:rPr>
              <w:t>优秀得7＜F≤10分；良好得4＜F≤7分；一般得1＜F≤4分，没有的不得分。</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35" w:type="dxa"/>
            <w:vAlign w:val="center"/>
          </w:tcPr>
          <w:p>
            <w:pPr>
              <w:spacing w:line="360" w:lineRule="auto"/>
              <w:jc w:val="center"/>
              <w:rPr>
                <w:rFonts w:ascii="宋体" w:hAnsi="宋体" w:cs="宋体"/>
                <w:b/>
                <w:color w:val="000000"/>
                <w:sz w:val="24"/>
                <w:szCs w:val="24"/>
              </w:rPr>
            </w:pPr>
            <w:r>
              <w:rPr>
                <w:rFonts w:ascii="宋体" w:hAnsi="宋体" w:cs="宋体"/>
                <w:b/>
                <w:color w:val="000000"/>
                <w:sz w:val="24"/>
                <w:szCs w:val="24"/>
              </w:rPr>
              <w:t>11</w:t>
            </w:r>
          </w:p>
        </w:tc>
        <w:tc>
          <w:tcPr>
            <w:tcW w:w="1137" w:type="dxa"/>
            <w:vMerge w:val="continue"/>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质保期内服务方案及要求</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针对质保期内服务方案内容质量、完整性、可操作性进行评审，服务方案包括巡检、技术支持、人员培训等质保服务的内容、次数、范围和程度；由评委综合打分。</w:t>
            </w:r>
          </w:p>
          <w:p>
            <w:pPr>
              <w:spacing w:line="360" w:lineRule="auto"/>
              <w:jc w:val="left"/>
              <w:rPr>
                <w:rFonts w:ascii="宋体" w:hAnsi="宋体" w:cs="宋体"/>
                <w:b/>
                <w:color w:val="000000"/>
                <w:sz w:val="24"/>
                <w:szCs w:val="24"/>
              </w:rPr>
            </w:pPr>
            <w:r>
              <w:rPr>
                <w:rFonts w:hint="eastAsia" w:ascii="宋体" w:hAnsi="宋体" w:cs="宋体"/>
                <w:b/>
                <w:color w:val="000000"/>
                <w:sz w:val="24"/>
                <w:szCs w:val="24"/>
              </w:rPr>
              <w:t>优秀得7＜F≤10分；良好得4＜F≤7分；一般得1＜F≤4分，没有的不得分。</w:t>
            </w:r>
          </w:p>
        </w:tc>
        <w:tc>
          <w:tcPr>
            <w:tcW w:w="1155"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vAlign w:val="center"/>
          </w:tcPr>
          <w:p>
            <w:pPr>
              <w:spacing w:line="360" w:lineRule="auto"/>
              <w:jc w:val="center"/>
              <w:rPr>
                <w:rFonts w:ascii="宋体" w:hAnsi="宋体" w:cs="宋体"/>
                <w:b/>
                <w:color w:val="000000"/>
                <w:sz w:val="24"/>
                <w:szCs w:val="24"/>
              </w:rPr>
            </w:pPr>
            <w:r>
              <w:rPr>
                <w:rFonts w:ascii="宋体" w:hAnsi="宋体" w:cs="宋体"/>
                <w:b/>
                <w:color w:val="000000"/>
                <w:sz w:val="24"/>
                <w:szCs w:val="24"/>
              </w:rPr>
              <w:t>12</w:t>
            </w:r>
          </w:p>
        </w:tc>
        <w:tc>
          <w:tcPr>
            <w:tcW w:w="1137" w:type="dxa"/>
            <w:vMerge w:val="continue"/>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施工进度计划</w:t>
            </w:r>
          </w:p>
        </w:tc>
        <w:tc>
          <w:tcPr>
            <w:tcW w:w="7072" w:type="dxa"/>
            <w:vAlign w:val="center"/>
          </w:tcPr>
          <w:p>
            <w:pPr>
              <w:spacing w:before="24" w:after="24" w:line="360" w:lineRule="auto"/>
              <w:jc w:val="left"/>
              <w:rPr>
                <w:rFonts w:ascii="宋体" w:hAnsi="宋体" w:cs="宋体"/>
                <w:color w:val="000000"/>
                <w:sz w:val="24"/>
                <w:szCs w:val="24"/>
              </w:rPr>
            </w:pPr>
            <w:r>
              <w:rPr>
                <w:rFonts w:hint="eastAsia" w:ascii="宋体" w:hAnsi="宋体" w:cs="宋体"/>
                <w:color w:val="000000"/>
                <w:sz w:val="24"/>
                <w:szCs w:val="24"/>
              </w:rPr>
              <w:t>投标人提供详细的施工进度计划，综合评审其施工进度是否符合招标文件工期要求，时间分配是否合理，由评委综合打分。</w:t>
            </w:r>
          </w:p>
          <w:p>
            <w:pPr>
              <w:spacing w:line="360" w:lineRule="auto"/>
              <w:ind w:right="288" w:rightChars="137"/>
              <w:jc w:val="left"/>
              <w:rPr>
                <w:rFonts w:ascii="宋体" w:hAnsi="宋体" w:cs="宋体"/>
                <w:color w:val="000000"/>
                <w:sz w:val="24"/>
                <w:szCs w:val="24"/>
              </w:rPr>
            </w:pPr>
            <w:r>
              <w:rPr>
                <w:rFonts w:hint="eastAsia" w:ascii="宋体" w:hAnsi="宋体" w:cs="宋体"/>
                <w:b/>
                <w:color w:val="000000"/>
                <w:sz w:val="24"/>
                <w:szCs w:val="24"/>
              </w:rPr>
              <w:t>优秀得7＜F≤10分；良好得4＜F≤7分；一般得1＜F≤4分，没有的不得分。</w:t>
            </w:r>
          </w:p>
        </w:tc>
        <w:tc>
          <w:tcPr>
            <w:tcW w:w="1155" w:type="dxa"/>
            <w:vAlign w:val="center"/>
          </w:tcPr>
          <w:p>
            <w:pPr>
              <w:spacing w:line="360" w:lineRule="auto"/>
              <w:jc w:val="center"/>
              <w:rPr>
                <w:rFonts w:ascii="宋体" w:hAnsi="宋体" w:cs="宋体"/>
                <w:bCs/>
                <w:color w:val="000000"/>
                <w:sz w:val="24"/>
                <w:szCs w:val="24"/>
              </w:rPr>
            </w:pPr>
            <w:r>
              <w:rPr>
                <w:rFonts w:hint="eastAsia" w:ascii="宋体" w:hAnsi="宋体" w:cs="宋体"/>
                <w:bCs/>
                <w:color w:val="000000"/>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35"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13</w:t>
            </w:r>
          </w:p>
        </w:tc>
        <w:tc>
          <w:tcPr>
            <w:tcW w:w="1137" w:type="dxa"/>
            <w:vAlign w:val="center"/>
          </w:tcPr>
          <w:p>
            <w:pPr>
              <w:spacing w:line="360" w:lineRule="auto"/>
              <w:jc w:val="center"/>
              <w:rPr>
                <w:rFonts w:ascii="宋体" w:hAnsi="宋体" w:cs="宋体"/>
                <w:b/>
                <w:color w:val="000000"/>
                <w:sz w:val="24"/>
                <w:szCs w:val="24"/>
              </w:rPr>
            </w:pPr>
          </w:p>
        </w:tc>
        <w:tc>
          <w:tcPr>
            <w:tcW w:w="1356"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合计</w:t>
            </w:r>
          </w:p>
        </w:tc>
        <w:tc>
          <w:tcPr>
            <w:tcW w:w="7072" w:type="dxa"/>
            <w:vAlign w:val="center"/>
          </w:tcPr>
          <w:p>
            <w:pPr>
              <w:spacing w:line="360" w:lineRule="auto"/>
              <w:jc w:val="center"/>
              <w:rPr>
                <w:rFonts w:ascii="宋体" w:hAnsi="宋体" w:cs="宋体"/>
                <w:b/>
                <w:color w:val="000000"/>
                <w:sz w:val="24"/>
                <w:szCs w:val="24"/>
              </w:rPr>
            </w:pPr>
          </w:p>
        </w:tc>
        <w:tc>
          <w:tcPr>
            <w:tcW w:w="1155" w:type="dxa"/>
            <w:vAlign w:val="center"/>
          </w:tcPr>
          <w:p>
            <w:pPr>
              <w:spacing w:line="360" w:lineRule="auto"/>
              <w:jc w:val="center"/>
              <w:rPr>
                <w:rFonts w:ascii="宋体" w:hAnsi="宋体" w:cs="宋体"/>
                <w:b/>
                <w:color w:val="000000"/>
                <w:sz w:val="24"/>
                <w:szCs w:val="24"/>
              </w:rPr>
            </w:pPr>
            <w:r>
              <w:rPr>
                <w:rFonts w:hint="eastAsia" w:ascii="宋体" w:hAnsi="宋体" w:cs="宋体"/>
                <w:b/>
                <w:color w:val="000000"/>
                <w:sz w:val="24"/>
                <w:szCs w:val="24"/>
              </w:rPr>
              <w:t>100分</w:t>
            </w:r>
          </w:p>
        </w:tc>
      </w:tr>
    </w:tbl>
    <w:p>
      <w:pPr>
        <w:adjustRightInd w:val="0"/>
        <w:snapToGrid w:val="0"/>
        <w:spacing w:line="360" w:lineRule="auto"/>
        <w:ind w:right="-10" w:firstLine="482" w:firstLineChars="200"/>
        <w:rPr>
          <w:rFonts w:ascii="宋体" w:hAnsi="宋体"/>
          <w:b/>
          <w:color w:val="000000" w:themeColor="text1"/>
          <w:sz w:val="24"/>
          <w:szCs w:val="24"/>
          <w14:textFill>
            <w14:solidFill>
              <w14:schemeClr w14:val="tx1"/>
            </w14:solidFill>
          </w14:textFill>
        </w:rPr>
      </w:pP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szCs w:val="24"/>
        </w:rPr>
        <w:t>8.</w:t>
      </w:r>
      <w:r>
        <w:rPr>
          <w:rFonts w:ascii="宋体" w:hAnsi="宋体"/>
          <w:b/>
          <w:color w:val="000000"/>
          <w:sz w:val="24"/>
          <w:szCs w:val="24"/>
        </w:rPr>
        <w:t>3</w:t>
      </w:r>
      <w:r>
        <w:rPr>
          <w:rFonts w:hint="eastAsia" w:ascii="宋体" w:hAnsi="宋体"/>
          <w:b/>
          <w:color w:val="000000"/>
          <w:sz w:val="24"/>
          <w:szCs w:val="24"/>
        </w:rPr>
        <w:t>确定中标候选人</w:t>
      </w:r>
    </w:p>
    <w:p>
      <w:pPr>
        <w:adjustRightInd w:val="0"/>
        <w:snapToGrid w:val="0"/>
        <w:spacing w:line="360" w:lineRule="auto"/>
        <w:ind w:right="-10" w:firstLine="482" w:firstLineChars="200"/>
        <w:rPr>
          <w:rFonts w:ascii="宋体" w:hAnsi="宋体"/>
          <w:b/>
          <w:bCs/>
          <w:color w:val="000000"/>
          <w:sz w:val="24"/>
        </w:rPr>
      </w:pPr>
      <w:r>
        <w:rPr>
          <w:rFonts w:hint="eastAsia" w:ascii="宋体" w:hAnsi="宋体"/>
          <w:b/>
          <w:bCs/>
          <w:color w:val="000000"/>
          <w:sz w:val="24"/>
        </w:rPr>
        <w:t>按照有效投标人最终得分（即商务和技术部分相加后得分）由高到低排出中标候选人。</w:t>
      </w:r>
    </w:p>
    <w:p>
      <w:pPr>
        <w:adjustRightInd w:val="0"/>
        <w:snapToGrid w:val="0"/>
        <w:spacing w:line="360" w:lineRule="auto"/>
        <w:ind w:right="-10" w:firstLine="482" w:firstLineChars="200"/>
        <w:rPr>
          <w:rFonts w:ascii="宋体" w:hAnsi="宋体"/>
          <w:b/>
          <w:bCs/>
          <w:color w:val="000000"/>
          <w:sz w:val="24"/>
        </w:rPr>
      </w:pPr>
      <w:r>
        <w:rPr>
          <w:rFonts w:hint="eastAsia" w:ascii="宋体" w:hAnsi="宋体"/>
          <w:b/>
          <w:bCs/>
          <w:color w:val="000000"/>
          <w:sz w:val="24"/>
        </w:rPr>
        <w:t>最终得分相同的，则采取评标委员会抽签方式确定其前后次序。</w:t>
      </w:r>
    </w:p>
    <w:p>
      <w:pPr>
        <w:adjustRightInd w:val="0"/>
        <w:snapToGrid w:val="0"/>
        <w:spacing w:line="360" w:lineRule="auto"/>
        <w:ind w:right="-10" w:firstLine="482" w:firstLineChars="200"/>
        <w:rPr>
          <w:rFonts w:ascii="宋体" w:hAnsi="宋体"/>
          <w:bCs/>
          <w:color w:val="000000"/>
          <w:sz w:val="24"/>
        </w:rPr>
      </w:pPr>
      <w:r>
        <w:rPr>
          <w:rFonts w:hint="eastAsia" w:ascii="宋体" w:hAnsi="宋体"/>
          <w:b/>
          <w:bCs/>
          <w:color w:val="000000"/>
          <w:sz w:val="24"/>
        </w:rPr>
        <w:t>9.</w:t>
      </w:r>
      <w:r>
        <w:rPr>
          <w:rFonts w:hint="eastAsia" w:ascii="宋体" w:hAnsi="宋体"/>
          <w:bCs/>
          <w:color w:val="000000"/>
          <w:sz w:val="24"/>
        </w:rPr>
        <w:t>各投标人的得分一经得出，并核对无误后，任何人不得更改。</w:t>
      </w:r>
    </w:p>
    <w:p>
      <w:pPr>
        <w:pStyle w:val="26"/>
        <w:spacing w:line="360" w:lineRule="auto"/>
        <w:ind w:right="-10" w:firstLine="482"/>
        <w:rPr>
          <w:rFonts w:ascii="宋体" w:hAnsi="宋体" w:eastAsia="宋体"/>
          <w:color w:val="000000"/>
          <w:sz w:val="24"/>
        </w:rPr>
      </w:pPr>
      <w:r>
        <w:rPr>
          <w:rFonts w:hint="eastAsia" w:ascii="宋体" w:hAnsi="宋体" w:eastAsia="宋体"/>
          <w:b/>
          <w:color w:val="000000"/>
          <w:sz w:val="24"/>
        </w:rPr>
        <w:t>10.</w:t>
      </w:r>
      <w:r>
        <w:rPr>
          <w:rFonts w:hint="eastAsia" w:ascii="宋体" w:hAnsi="宋体" w:eastAsia="宋体"/>
          <w:color w:val="000000"/>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sz w:val="24"/>
        </w:rPr>
      </w:pPr>
      <w:r>
        <w:rPr>
          <w:rFonts w:hint="eastAsia" w:ascii="宋体" w:hAnsi="宋体"/>
          <w:b/>
          <w:color w:val="000000"/>
          <w:sz w:val="24"/>
        </w:rPr>
        <w:t>11.</w:t>
      </w:r>
      <w:r>
        <w:rPr>
          <w:rFonts w:hint="eastAsia" w:ascii="宋体" w:hAnsi="宋体"/>
          <w:color w:val="000000"/>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12.</w:t>
      </w:r>
      <w:r>
        <w:rPr>
          <w:rFonts w:hint="eastAsia" w:ascii="宋体" w:hAnsi="宋体"/>
          <w:color w:val="000000"/>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13.</w:t>
      </w:r>
      <w:r>
        <w:rPr>
          <w:rFonts w:hint="eastAsia" w:ascii="宋体" w:hAnsi="宋体"/>
          <w:color w:val="000000"/>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000000"/>
          <w:sz w:val="24"/>
        </w:rPr>
      </w:pPr>
      <w:r>
        <w:rPr>
          <w:rFonts w:hint="eastAsia" w:ascii="宋体" w:hAnsi="宋体"/>
          <w:b/>
          <w:bCs/>
          <w:color w:val="000000"/>
          <w:sz w:val="24"/>
        </w:rPr>
        <w:t>14.</w:t>
      </w:r>
      <w:r>
        <w:rPr>
          <w:rFonts w:hint="eastAsia" w:ascii="宋体" w:hAnsi="宋体"/>
          <w:bCs/>
          <w:color w:val="000000"/>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sz w:val="24"/>
        </w:rPr>
      </w:pPr>
      <w:r>
        <w:rPr>
          <w:rFonts w:hint="eastAsia" w:ascii="宋体" w:hAnsi="宋体"/>
          <w:b/>
          <w:bCs/>
          <w:color w:val="000000"/>
          <w:sz w:val="24"/>
        </w:rPr>
        <w:t>15.</w:t>
      </w:r>
      <w:r>
        <w:rPr>
          <w:rFonts w:hint="eastAsia" w:ascii="宋体" w:hAnsi="宋体"/>
          <w:color w:val="000000"/>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rFonts w:ascii="宋体" w:hAnsi="宋体"/>
          <w:bCs/>
          <w:color w:val="000000"/>
          <w:sz w:val="24"/>
        </w:rPr>
      </w:pPr>
      <w:r>
        <w:rPr>
          <w:rFonts w:hint="eastAsia" w:ascii="宋体" w:hAnsi="宋体"/>
          <w:b/>
          <w:bCs/>
          <w:color w:val="000000"/>
          <w:sz w:val="24"/>
        </w:rPr>
        <w:t>16.</w:t>
      </w:r>
      <w:r>
        <w:rPr>
          <w:rFonts w:hint="eastAsia" w:ascii="宋体" w:hAnsi="宋体"/>
          <w:bCs/>
          <w:color w:val="000000"/>
          <w:sz w:val="24"/>
        </w:rPr>
        <w:t>在评标过程中，评委及其他评标工作人员必须对评标情况严格保密，任何人不得将评标情况透露给与投标人有关的单位和个人。</w:t>
      </w:r>
    </w:p>
    <w:p>
      <w:pPr>
        <w:spacing w:line="360" w:lineRule="auto"/>
        <w:ind w:firstLine="482" w:firstLineChars="200"/>
        <w:rPr>
          <w:b/>
          <w:color w:val="000000"/>
          <w:sz w:val="24"/>
          <w:szCs w:val="24"/>
        </w:rPr>
      </w:pPr>
      <w:r>
        <w:rPr>
          <w:rFonts w:hint="eastAsia"/>
          <w:b/>
          <w:color w:val="000000"/>
          <w:sz w:val="24"/>
          <w:szCs w:val="24"/>
        </w:rPr>
        <w:t>17. 其他</w:t>
      </w:r>
    </w:p>
    <w:p>
      <w:pPr>
        <w:spacing w:line="360" w:lineRule="auto"/>
        <w:ind w:firstLine="482" w:firstLineChars="200"/>
        <w:rPr>
          <w:b/>
          <w:color w:val="000000"/>
          <w:sz w:val="24"/>
          <w:szCs w:val="24"/>
        </w:rPr>
      </w:pPr>
      <w:r>
        <w:rPr>
          <w:rFonts w:hint="eastAsia"/>
          <w:b/>
          <w:color w:val="00000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p>
    <w:bookmarkEnd w:id="83"/>
    <w:bookmarkEnd w:id="84"/>
    <w:bookmarkEnd w:id="85"/>
    <w:p>
      <w:pPr>
        <w:rPr>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bookmarkStart w:id="87" w:name="_Toc40792204"/>
      <w:r>
        <w:rPr>
          <w:rFonts w:hint="eastAsia" w:ascii="宋体" w:hAnsi="宋体"/>
          <w:color w:val="000000" w:themeColor="text1"/>
          <w14:textFill>
            <w14:solidFill>
              <w14:schemeClr w14:val="tx1"/>
            </w14:solidFill>
          </w14:textFill>
        </w:rPr>
        <w:br w:type="page"/>
      </w:r>
    </w:p>
    <w:p>
      <w:pPr>
        <w:rPr>
          <w:rFonts w:ascii="宋体" w:hAnsi="宋体"/>
          <w:color w:val="000000" w:themeColor="text1"/>
          <w14:textFill>
            <w14:solidFill>
              <w14:schemeClr w14:val="tx1"/>
            </w14:solidFill>
          </w14:textFill>
        </w:rPr>
      </w:pPr>
    </w:p>
    <w:p>
      <w:pPr>
        <w:pStyle w:val="4"/>
        <w:spacing w:before="0" w:line="500" w:lineRule="exact"/>
        <w:ind w:firstLine="0"/>
        <w:rPr>
          <w:rFonts w:ascii="宋体" w:hAnsi="宋体" w:eastAsia="宋体"/>
          <w:color w:val="000000" w:themeColor="text1"/>
          <w14:textFill>
            <w14:solidFill>
              <w14:schemeClr w14:val="tx1"/>
            </w14:solidFill>
          </w14:textFill>
        </w:rPr>
      </w:pPr>
      <w:bookmarkStart w:id="88" w:name="_Toc122103687"/>
      <w:r>
        <w:rPr>
          <w:rFonts w:hint="eastAsia" w:ascii="宋体" w:hAnsi="宋体" w:eastAsia="宋体"/>
          <w:color w:val="000000" w:themeColor="text1"/>
          <w14:textFill>
            <w14:solidFill>
              <w14:schemeClr w14:val="tx1"/>
            </w14:solidFill>
          </w14:textFill>
        </w:rPr>
        <w:t>第六章</w:t>
      </w:r>
      <w:bookmarkEnd w:id="81"/>
      <w:bookmarkStart w:id="89" w:name="_Toc220232392"/>
      <w:r>
        <w:rPr>
          <w:rFonts w:hint="eastAsia" w:ascii="宋体" w:hAnsi="宋体" w:eastAsia="宋体"/>
          <w:color w:val="000000" w:themeColor="text1"/>
          <w14:textFill>
            <w14:solidFill>
              <w14:schemeClr w14:val="tx1"/>
            </w14:solidFill>
          </w14:textFill>
        </w:rPr>
        <w:t xml:space="preserve">  合同条款及格式</w:t>
      </w:r>
      <w:bookmarkEnd w:id="87"/>
      <w:bookmarkEnd w:id="88"/>
    </w:p>
    <w:bookmarkEnd w:id="89"/>
    <w:p>
      <w:pPr>
        <w:spacing w:line="480" w:lineRule="exact"/>
        <w:jc w:val="center"/>
        <w:rPr>
          <w:rFonts w:ascii="宋体" w:hAnsi="宋体"/>
          <w:b/>
          <w:bCs/>
          <w:color w:val="000000" w:themeColor="text1"/>
          <w:sz w:val="28"/>
          <w:szCs w:val="28"/>
          <w14:textFill>
            <w14:solidFill>
              <w14:schemeClr w14:val="tx1"/>
            </w14:solidFill>
          </w14:textFill>
        </w:rPr>
      </w:pPr>
      <w:bookmarkStart w:id="90" w:name="_Toc351203652"/>
      <w:r>
        <w:rPr>
          <w:rFonts w:hint="eastAsia" w:ascii="宋体" w:hAnsi="宋体"/>
          <w:b/>
          <w:bCs/>
          <w:color w:val="000000" w:themeColor="text1"/>
          <w:sz w:val="28"/>
          <w:szCs w:val="28"/>
          <w14:textFill>
            <w14:solidFill>
              <w14:schemeClr w14:val="tx1"/>
            </w14:solidFill>
          </w14:textFill>
        </w:rPr>
        <w:t>XX工程施工合同</w:t>
      </w:r>
    </w:p>
    <w:p>
      <w:pPr>
        <w:adjustRightInd w:val="0"/>
        <w:snapToGrid w:val="0"/>
        <w:ind w:firstLine="260" w:firstLineChars="200"/>
        <w:rPr>
          <w:color w:val="000000" w:themeColor="text1"/>
          <w:sz w:val="13"/>
          <w:szCs w:val="13"/>
          <w:shd w:val="pct10" w:color="auto" w:fill="FFFFFF"/>
          <w14:textFill>
            <w14:solidFill>
              <w14:schemeClr w14:val="tx1"/>
            </w14:solidFill>
          </w14:textFill>
        </w:rPr>
      </w:pPr>
    </w:p>
    <w:p>
      <w:pPr>
        <w:adjustRightInd w:val="0"/>
        <w:snapToGrid w:val="0"/>
        <w:spacing w:line="520" w:lineRule="exact"/>
        <w:jc w:val="right"/>
        <w:rPr>
          <w:rFonts w:cs="黑体" w:asciiTheme="minorEastAsia" w:hAnsiTheme="minorEastAsia" w:eastAsia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文旅博览（2022）第xxx号合同</w:t>
      </w:r>
    </w:p>
    <w:p>
      <w:pPr>
        <w:adjustRightInd w:val="0"/>
        <w:snapToGrid w:val="0"/>
        <w:spacing w:line="520" w:lineRule="exact"/>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发包方（以下简称甲方）：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地 址：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法定代表人：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联系人：                </w:t>
      </w:r>
    </w:p>
    <w:p>
      <w:pPr>
        <w:adjustRightInd w:val="0"/>
        <w:snapToGrid w:val="0"/>
        <w:spacing w:line="520" w:lineRule="exact"/>
        <w:ind w:firstLine="480"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电话：     </w:t>
      </w:r>
      <w:r>
        <w:rPr>
          <w:rFonts w:hint="eastAsia" w:cs="宋体" w:asciiTheme="minorEastAsia" w:hAnsiTheme="minorEastAsia" w:eastAsiaTheme="minorEastAsia"/>
          <w:b/>
          <w:bCs/>
          <w:color w:val="000000" w:themeColor="text1"/>
          <w:sz w:val="24"/>
          <w:szCs w:val="24"/>
          <w14:textFill>
            <w14:solidFill>
              <w14:schemeClr w14:val="tx1"/>
            </w14:solidFill>
          </w14:textFill>
        </w:rPr>
        <w:t xml:space="preserve">             </w:t>
      </w:r>
    </w:p>
    <w:p>
      <w:pPr>
        <w:adjustRightInd w:val="0"/>
        <w:snapToGrid w:val="0"/>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p>
    <w:p>
      <w:pPr>
        <w:adjustRightInd w:val="0"/>
        <w:snapToGrid w:val="0"/>
        <w:spacing w:line="520" w:lineRule="exact"/>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 xml:space="preserve">承包方（以下简称乙方）：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地 址：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单位负责人：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联系人：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电话： </w:t>
      </w:r>
    </w:p>
    <w:bookmarkEnd w:id="90"/>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bookmarkStart w:id="91" w:name="_Toc501460734"/>
      <w:bookmarkStart w:id="92" w:name="_Toc369531601"/>
      <w:bookmarkStart w:id="93" w:name="_Toc300835032"/>
      <w:bookmarkStart w:id="94" w:name="_Toc501460735"/>
      <w:bookmarkStart w:id="95" w:name="_Toc247514035"/>
      <w:bookmarkStart w:id="96" w:name="_Toc30942"/>
      <w:bookmarkStart w:id="97" w:name="_Toc64558461"/>
      <w:bookmarkStart w:id="98" w:name="_Toc247527636"/>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根据《中华人民共和国民法典》、《中华人民共和国建筑法》及有关法律、法规的规定，遵循平等、自愿和诚实信用的原则，</w:t>
      </w:r>
      <w:r>
        <w:rPr>
          <w:rFonts w:hint="eastAsia" w:asciiTheme="minorEastAsia" w:hAnsiTheme="minorEastAsia" w:eastAsiaTheme="minorEastAsia" w:cstheme="minorEastAsia"/>
          <w:color w:val="000000" w:themeColor="text1"/>
          <w:sz w:val="24"/>
          <w:szCs w:val="24"/>
          <w14:textFill>
            <w14:solidFill>
              <w14:schemeClr w14:val="tx1"/>
            </w14:solidFill>
          </w14:textFill>
        </w:rPr>
        <w:t>就甲方发包、乙方承包本合同约定工程施工事项协商一致，订立本合同，以资共同遵守</w:t>
      </w:r>
      <w:r>
        <w:rPr>
          <w:rFonts w:hint="eastAsia" w:cs="等线" w:asciiTheme="minorEastAsia" w:hAnsiTheme="minorEastAsia" w:eastAsiaTheme="minorEastAsia"/>
          <w:color w:val="000000" w:themeColor="text1"/>
          <w:sz w:val="24"/>
          <w:szCs w:val="24"/>
          <w14:textFill>
            <w14:solidFill>
              <w14:schemeClr w14:val="tx1"/>
            </w14:solidFill>
          </w14:textFill>
        </w:rPr>
        <w:t>。</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第一条 工程概况</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1.1工程名称：</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合肥国际人才公寓消防工程应急施工项目 。</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1.2工程地点: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合肥市蜀山区汤池路与茗香路交口，具体以招标人下发的任务单为准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spacing w:line="460" w:lineRule="exact"/>
        <w:ind w:firstLine="437"/>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1.3工程主要范围及内容：</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本次合同内容包括但不限于：负责完成C地块消防工程剩余工作及A地块配套消防工程的施工；负责梳理提交完成C地块消防验收备案所需的A、C地块消防工程量清单，并报甲方审核同意后实施；负责完成C地块消防验收备案等相关工作，具体工作内容由甲方确定，并以甲方下发的任务单为准。</w:t>
      </w:r>
    </w:p>
    <w:p>
      <w:pPr>
        <w:spacing w:line="520" w:lineRule="exact"/>
        <w:ind w:firstLine="460" w:firstLineChars="192"/>
        <w:rPr>
          <w:rFonts w:cs="等线" w:asciiTheme="minorEastAsia" w:hAnsiTheme="minorEastAsia" w:eastAsiaTheme="minorEastAsia"/>
          <w:color w:val="000000" w:themeColor="text1"/>
          <w:sz w:val="24"/>
          <w:szCs w:val="24"/>
          <w:highlight w:val="none"/>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1.4承</w:t>
      </w:r>
      <w:r>
        <w:rPr>
          <w:rFonts w:hint="eastAsia" w:cs="等线" w:asciiTheme="minorEastAsia" w:hAnsiTheme="minorEastAsia" w:eastAsiaTheme="minorEastAsia"/>
          <w:color w:val="000000" w:themeColor="text1"/>
          <w:sz w:val="24"/>
          <w:szCs w:val="24"/>
          <w:highlight w:val="none"/>
          <w14:textFill>
            <w14:solidFill>
              <w14:schemeClr w14:val="tx1"/>
            </w14:solidFill>
          </w14:textFill>
        </w:rPr>
        <w:t>包方式：包工包料、包工期、包质量、包安全、包保修。</w:t>
      </w:r>
    </w:p>
    <w:p>
      <w:pPr>
        <w:spacing w:line="520" w:lineRule="exact"/>
        <w:ind w:firstLine="463" w:firstLineChars="192"/>
        <w:rPr>
          <w:rFonts w:cs="等线"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cs="等线" w:asciiTheme="minorEastAsia" w:hAnsiTheme="minorEastAsia" w:eastAsiaTheme="minorEastAsia"/>
          <w:b/>
          <w:bCs/>
          <w:color w:val="000000" w:themeColor="text1"/>
          <w:sz w:val="24"/>
          <w:szCs w:val="24"/>
          <w:highlight w:val="none"/>
          <w14:textFill>
            <w14:solidFill>
              <w14:schemeClr w14:val="tx1"/>
            </w14:solidFill>
          </w14:textFill>
        </w:rPr>
        <w:t>第二条 合同工期</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2.1本合同项下工程工期为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80天（如服务期限满，合同金额未用满，经双方同意，服务期限可以顺延）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。工程开工日期暂定为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2</w:t>
      </w:r>
      <w:r>
        <w:rPr>
          <w:rFonts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02</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2年12月  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；工程竣工日期暂定为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。具体开工日期以监理单位下发的</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开工令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为准，否则乙方已实施部分甲方有权不予认可。</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2.2具体工期根据项目需求，接甲方通知，2日内进场进行实质性施工，逾期处罚2万元/次，累计3次不按时进场施工，甲方有权终止合同，并报交易中心给予处罚。</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乙方进场后，必须根据甲方要求</w:t>
      </w:r>
      <w:r>
        <w:rPr>
          <w:rFonts w:hint="eastAsia" w:asciiTheme="minorEastAsia" w:hAnsiTheme="minorEastAsia" w:eastAsiaTheme="minorEastAsia" w:cstheme="minorEastAsia"/>
          <w:color w:val="000000" w:themeColor="text1"/>
          <w:sz w:val="24"/>
          <w:szCs w:val="24"/>
          <w14:textFill>
            <w14:solidFill>
              <w14:schemeClr w14:val="tx1"/>
            </w14:solidFill>
          </w14:textFill>
        </w:rPr>
        <w:t>的时间节点进行施工计划编制，报监理单位审批，甲方同意后方可进行施工，并按要求的工期保质保量完成；</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乙方开工后，未经甲方书面同意，不得中途停工，否则工期延误导致的损失和责任均由乙方承担。</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asciiTheme="minorEastAsia" w:hAnsiTheme="minorEastAsia" w:eastAsiaTheme="minorEastAsia" w:cstheme="minorEastAsia"/>
          <w:color w:val="000000" w:themeColor="text1"/>
          <w:sz w:val="24"/>
          <w:szCs w:val="24"/>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4"/>
          <w:szCs w:val="24"/>
          <w14:textFill>
            <w14:solidFill>
              <w14:schemeClr w14:val="tx1"/>
            </w14:solidFill>
          </w14:textFill>
        </w:rPr>
        <w:t>如甲方决定不再继续施工的，乙方应按照甲方要求停工、撤离人员、设备等工作，双方按照经甲方确认的乙方实际完成的工程量及本合同约定的单价进行结算，此情况不被视为甲方违约，甲方不必向乙方承担任何工期索赔及费用索赔等任何责任。</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第三条 工程质量及工艺要求</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3.1本工程施工内容以经甲方书面确认的施工图纸、任务单、工程指令单为准。</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3.2本</w:t>
      </w:r>
      <w:r>
        <w:rPr>
          <w:rFonts w:hint="eastAsia" w:cs="等线" w:asciiTheme="minorEastAsia" w:hAnsiTheme="minorEastAsia" w:eastAsiaTheme="minorEastAsia"/>
          <w:color w:val="000000" w:themeColor="text1"/>
          <w:sz w:val="24"/>
          <w:szCs w:val="24"/>
          <w14:textFill>
            <w14:solidFill>
              <w14:schemeClr w14:val="tx1"/>
            </w14:solidFill>
          </w14:textFill>
        </w:rPr>
        <w:t>工程质量等级为</w:t>
      </w:r>
      <w:r>
        <w:rPr>
          <w:rFonts w:hint="eastAsia" w:cs="等线" w:asciiTheme="minorEastAsia" w:hAnsiTheme="minorEastAsia" w:eastAsiaTheme="minorEastAsia"/>
          <w:b/>
          <w:bCs/>
          <w:color w:val="000000" w:themeColor="text1"/>
          <w:sz w:val="24"/>
          <w:szCs w:val="24"/>
          <w:u w:val="single"/>
          <w14:textFill>
            <w14:solidFill>
              <w14:schemeClr w14:val="tx1"/>
            </w14:solidFill>
          </w14:textFill>
        </w:rPr>
        <w:t>合格</w:t>
      </w:r>
      <w:r>
        <w:rPr>
          <w:rFonts w:hint="eastAsia" w:cs="等线" w:asciiTheme="minorEastAsia" w:hAnsiTheme="minorEastAsia" w:eastAsiaTheme="minorEastAsia"/>
          <w:color w:val="000000" w:themeColor="text1"/>
          <w:sz w:val="24"/>
          <w:szCs w:val="24"/>
          <w14:textFill>
            <w14:solidFill>
              <w14:schemeClr w14:val="tx1"/>
            </w14:solidFill>
          </w14:textFill>
        </w:rPr>
        <w:t>，每项工程质量必须达到国家、安徽省、合肥市施工验收规范及工程质量检验合格标准以及本合同约定的质量要求，并确保消防验收通过。</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乙方保证本工程的施工质量应符合国家标准及行业标准。如国家标准、行业标准及甲方对乙方提出的技术要求不一致的，以较高要求的标准或技术要求为准，甲方按照较高要求的标准及技术要求进行验收。</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3.3</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乙方施工应按本合同约定及甲方提出的施工工艺要求进行，并保证施工质量达到本合同约定标准及甲方的要求，未达到以上标准或要求的，由乙方负责返工，费用由乙方承担、工期不予顺延。</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4甲方验收并不免除乙方对工程的质量保证责任，即使本工程通过甲方验收，但甲方当地（包括施工地）有关主管部门对本工程范围内的内容进行检查并提出整改要求的，乙方应按照相关部门的要求和期限进行整改并承担相应责任，上述整改产生的费用包含在本次工程价款中，甲方无需另行向乙方支付任何费用，且乙方应向甲方支付甲方因整改产生的任何损失，包括但不限于相关部门的罚金、停止营业的损失、第三方向甲方的追偿。</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3.5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如工程的质量、安全存在问题而受到工程建管部门通报批评的，乙方按2万元/次支付违约金。</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第四条 工程要求</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负责梳理确保C地块消防验收备案完成所需的工程量及清单，并报甲方审核同意后实施。具体工作内容由甲方确定，并以甲方下发的任务单为准。乙方应按照甲方下发的指令（或者任务单）实施应急施工事项，具体施工金额以实际发生量，并经审计单位审核为准，乙方不得以合同金额未用完为理由向甲方提出索赔。</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4.2</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乙方必须根据甲方要求的时间节点进行施工计划安排，不得以任何理由拒绝实施，连续二次拒绝实施，甲方有权单方面解除合同。</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 乙方现场施工务必做到文明施工标准，垃圾随时清理，并放置安全警示标牌及相关安全维护设施，施工现场动火务必报审，并经监理单位批准后方可安排专业人员持证上岗作业，并上报安全防范措施。</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 乙方施工内容涉及到专业项目必须分包的，分包单位务必具有相关资质条件，资质等级根据项目规模而确定，并报送甲方、监理人进行确认，专业分包项目务必验收合格后方可办理付款手续。</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4.5 需乙方自行采购的材料、设备，材料品牌及厂家需经监理单位、甲方审核认可，并且选定的材料供应厂家、颜色、样式和价格须经监理单位及甲方审核后方可使用，施工材料需严格按照监理单位及甲方要求堆放，不得影响其他单位施工。</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4.6 本项目施工过程中可能涉及交叉施工的，乙方不得以任何理由拒绝配合施工且不得以任何理由拖延工期，对局部或者某项工程需提前投入使用的，乙方须无条件按甲方要求组织施工。</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4.7 因乙方原因对现场成品造成损坏的，由乙方负责维修直至满足原设计、监理单位及甲方要求，如乙方无法维修的，由乙方与原施工单位自行协调维修，费用由乙方承担，若乙方拒绝维修或拒绝承担维修费用的，甲方有权另行安排队伍维修，所发生费用（以甲方计量为准）从乙方当月工程款中直接扣除。</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4.8 本工程不提供生活区、办公室，请乙方自行考虑解决。</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4.9 乙方进场后，须建立项目管理机构，按主管部门相关规定配备施工项目经理，施工期间项目经理必须常驻现场，项目部主要管理人员（如现场技术负责人等）按甲方实际需求进行配备。乙方不得擅自更换项目经理及项目部主要管理人员。若乙方擅自更换项目经理、项目技术负责人，处以违约金10万元/次。项目经理、技术负责人不得擅自离岗，否则将处以2000元/人.天的违约金。确需更换时，须经甲方同意，更换后人员不得低于中标人投标时所报人员资质和技术水平。</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4.10 工程建设过程中，乙方必须严格按照合同的要求，保质保量按期完成合同全部内容，若发现施工过程中乙方有严重违反合同中有关工程质量、安全、进度及农民工工资发放等主要条款的行为，除予以相应的处罚外，同时将视问题严重程度，扣除部分或全部履约保证金。</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4.11 出现重大质量事故，将按有关程序追究法律责任。如果发生质量缺陷均按处理该工程质量缺陷折算工程价格的两倍罚款；出现质量事故，按实际分部分项工程造价的叁倍罚款，并无条件返工，整改质量必须达到合格。工程质量如达不到合同要求的按违约处理，并从履约保证金中扣除违约金。</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w:t>
      </w:r>
      <w:r>
        <w:rPr>
          <w:rFonts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2 其它要求：乙方项目经理或主要管理人员不遵守合同规定擅自离岗或缺勤或不能胜任工作或危害安全，甲方有权要求更换，乙方必须在3日内更换；原人员未经甲方许可不得再次进入本项目。</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4.13 属于保修范围、内容的项目，中标人应当在接到保修通知之日起3天内派人保修。中标人不在约定期限内派人保修的，招标人可以委托他人修理，费用由中标人承担。</w:t>
      </w:r>
    </w:p>
    <w:p>
      <w:pPr>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4.14本项目部分材料、设施设备可能由招标人提供，中标人需无条件接收并负责实施和看管，相应费用仅考虑人工及安装费用。</w:t>
      </w:r>
    </w:p>
    <w:p>
      <w:pPr>
        <w:pStyle w:val="2"/>
        <w:spacing w:line="360" w:lineRule="auto"/>
        <w:ind w:firstLine="48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4.15本项目不仅需保证C地块的消防备案验收，同时需提交关于A地块后期消防工程实施的专项方案，以保证后期整个项目消防联动和功能的实现。</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第五条 合同价款、付款方式及工程结算</w:t>
      </w:r>
    </w:p>
    <w:p>
      <w:pPr>
        <w:spacing w:line="520" w:lineRule="exact"/>
        <w:ind w:firstLine="540" w:firstLineChars="225"/>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5.1本合同暂定总价：</w:t>
      </w:r>
      <w:r>
        <w:rPr>
          <w:rFonts w:hint="eastAsia" w:cs="等线" w:asciiTheme="minorEastAsia" w:hAnsiTheme="minorEastAsia" w:eastAsiaTheme="minorEastAsia"/>
          <w:b/>
          <w:bCs/>
          <w:color w:val="000000" w:themeColor="text1"/>
          <w:sz w:val="24"/>
          <w:szCs w:val="24"/>
          <w:u w:val="single"/>
          <w14:textFill>
            <w14:solidFill>
              <w14:schemeClr w14:val="tx1"/>
            </w14:solidFill>
          </w14:textFill>
        </w:rPr>
        <w:t>叁佰伍拾万元整</w:t>
      </w:r>
      <w:r>
        <w:rPr>
          <w:rFonts w:hint="eastAsia" w:cs="等线" w:asciiTheme="minorEastAsia" w:hAnsiTheme="minorEastAsia" w:eastAsiaTheme="minorEastAsia"/>
          <w:color w:val="000000" w:themeColor="text1"/>
          <w:sz w:val="24"/>
          <w:szCs w:val="24"/>
          <w14:textFill>
            <w14:solidFill>
              <w14:schemeClr w14:val="tx1"/>
            </w14:solidFill>
          </w14:textFill>
        </w:rPr>
        <w:t>（小写：</w:t>
      </w:r>
      <w:r>
        <w:rPr>
          <w:rFonts w:hint="eastAsia" w:cs="等线" w:asciiTheme="minorEastAsia" w:hAnsiTheme="minorEastAsia" w:eastAsiaTheme="minorEastAsia"/>
          <w:b/>
          <w:bCs/>
          <w:color w:val="000000" w:themeColor="text1"/>
          <w:sz w:val="24"/>
          <w:szCs w:val="24"/>
          <w:u w:val="single"/>
          <w14:textFill>
            <w14:solidFill>
              <w14:schemeClr w14:val="tx1"/>
            </w14:solidFill>
          </w14:textFill>
        </w:rPr>
        <w:t>￥350</w:t>
      </w:r>
      <w:r>
        <w:rPr>
          <w:rFonts w:cs="等线" w:asciiTheme="minorEastAsia" w:hAnsiTheme="minorEastAsia" w:eastAsiaTheme="minorEastAsia"/>
          <w:b/>
          <w:bCs/>
          <w:color w:val="000000" w:themeColor="text1"/>
          <w:sz w:val="24"/>
          <w:szCs w:val="24"/>
          <w:u w:val="single"/>
          <w14:textFill>
            <w14:solidFill>
              <w14:schemeClr w14:val="tx1"/>
            </w14:solidFill>
          </w14:textFill>
        </w:rPr>
        <w:t>0000.00</w:t>
      </w:r>
      <w:r>
        <w:rPr>
          <w:rFonts w:hint="eastAsia" w:cs="等线" w:asciiTheme="minorEastAsia" w:hAnsiTheme="minorEastAsia" w:eastAsiaTheme="minorEastAsia"/>
          <w:b/>
          <w:bCs/>
          <w:color w:val="000000" w:themeColor="text1"/>
          <w:sz w:val="24"/>
          <w:szCs w:val="24"/>
          <w:u w:val="single"/>
          <w14:textFill>
            <w14:solidFill>
              <w14:schemeClr w14:val="tx1"/>
            </w14:solidFill>
          </w14:textFill>
        </w:rPr>
        <w:t>元</w:t>
      </w:r>
      <w:r>
        <w:rPr>
          <w:rFonts w:hint="eastAsia" w:cs="等线" w:asciiTheme="minorEastAsia" w:hAnsiTheme="minorEastAsia" w:eastAsiaTheme="minorEastAsia"/>
          <w:color w:val="000000" w:themeColor="text1"/>
          <w:sz w:val="24"/>
          <w:szCs w:val="24"/>
          <w14:textFill>
            <w14:solidFill>
              <w14:schemeClr w14:val="tx1"/>
            </w14:solidFill>
          </w14:textFill>
        </w:rPr>
        <w:t>） ，合同价为暂定金额，具体以实际完成工作量及审计决算为准，且完成本项目所有工程内容不得超过合同暂定总价。</w:t>
      </w:r>
    </w:p>
    <w:p>
      <w:pPr>
        <w:spacing w:line="520" w:lineRule="exact"/>
        <w:ind w:firstLine="540" w:firstLineChars="225"/>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5.1.1</w:t>
      </w:r>
      <w:r>
        <w:rPr>
          <w:rFonts w:hint="eastAsia" w:cs="等线" w:asciiTheme="minorEastAsia" w:hAnsiTheme="minorEastAsia" w:eastAsiaTheme="minorEastAsia"/>
          <w:b/>
          <w:bCs/>
          <w:color w:val="000000" w:themeColor="text1"/>
          <w:sz w:val="24"/>
          <w:szCs w:val="24"/>
          <w14:textFill>
            <w14:solidFill>
              <w14:schemeClr w14:val="tx1"/>
            </w14:solidFill>
          </w14:textFill>
        </w:rPr>
        <w:t>本项目采用固定费率招标，费率为</w:t>
      </w:r>
      <w:r>
        <w:rPr>
          <w:rFonts w:hint="eastAsia" w:cs="等线" w:asciiTheme="minorEastAsia" w:hAnsiTheme="minorEastAsia" w:eastAsiaTheme="minorEastAsia"/>
          <w:b/>
          <w:bCs/>
          <w:color w:val="000000" w:themeColor="text1"/>
          <w:sz w:val="24"/>
          <w:szCs w:val="24"/>
          <w:u w:val="single"/>
          <w14:textFill>
            <w14:solidFill>
              <w14:schemeClr w14:val="tx1"/>
            </w14:solidFill>
          </w14:textFill>
        </w:rPr>
        <w:t>90%</w:t>
      </w:r>
      <w:r>
        <w:rPr>
          <w:rFonts w:hint="eastAsia" w:cs="等线" w:asciiTheme="minorEastAsia" w:hAnsiTheme="minorEastAsia" w:eastAsiaTheme="minorEastAsia"/>
          <w:b/>
          <w:bCs/>
          <w:color w:val="000000" w:themeColor="text1"/>
          <w:sz w:val="24"/>
          <w:szCs w:val="24"/>
          <w14:textFill>
            <w14:solidFill>
              <w14:schemeClr w14:val="tx1"/>
            </w14:solidFill>
          </w14:textFill>
        </w:rPr>
        <w:t xml:space="preserve">。固定费率是定标及签订合同的依据。 </w:t>
      </w:r>
    </w:p>
    <w:p>
      <w:pPr>
        <w:spacing w:line="520" w:lineRule="exact"/>
        <w:ind w:firstLine="540" w:firstLineChars="225"/>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结算方式：</w:t>
      </w:r>
    </w:p>
    <w:p>
      <w:pPr>
        <w:spacing w:line="520" w:lineRule="exact"/>
        <w:ind w:firstLine="540" w:firstLineChars="225"/>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单个零星工程结算价=依据招标文件规定的方法计算得出的工程竣工审计价×结算费率。</w:t>
      </w:r>
    </w:p>
    <w:p>
      <w:pPr>
        <w:spacing w:line="520" w:lineRule="exact"/>
        <w:ind w:firstLine="540" w:firstLineChars="225"/>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其中工程竣工审计价为审计部门依据相关定额，根据实际完成工程量计算得出，该审计价不得下浮。结算价为工程竣工后招标人实际应当支付的价款，是中标人编制的工程结算经业务委托审计后，在工程竣工审计价的基础上再乘以专业结算费率计算得出。</w:t>
      </w:r>
      <w:r>
        <w:rPr>
          <w:rFonts w:hint="eastAsia" w:cs="等线" w:asciiTheme="minorEastAsia" w:hAnsiTheme="minorEastAsia" w:eastAsiaTheme="minorEastAsia"/>
          <w:b/>
          <w:bCs/>
          <w:color w:val="000000" w:themeColor="text1"/>
          <w:sz w:val="24"/>
          <w:szCs w:val="24"/>
          <w14:textFill>
            <w14:solidFill>
              <w14:schemeClr w14:val="tx1"/>
            </w14:solidFill>
          </w14:textFill>
        </w:rPr>
        <w:t>主要材料及设备参与下浮</w:t>
      </w:r>
      <w:r>
        <w:rPr>
          <w:rFonts w:hint="eastAsia" w:cs="等线" w:asciiTheme="minorEastAsia" w:hAnsiTheme="minorEastAsia" w:eastAsiaTheme="minorEastAsia"/>
          <w:color w:val="000000" w:themeColor="text1"/>
          <w:sz w:val="24"/>
          <w:szCs w:val="24"/>
          <w14:textFill>
            <w14:solidFill>
              <w14:schemeClr w14:val="tx1"/>
            </w14:solidFill>
          </w14:textFill>
        </w:rPr>
        <w:t>。</w:t>
      </w:r>
    </w:p>
    <w:p>
      <w:pPr>
        <w:spacing w:line="520" w:lineRule="exact"/>
        <w:ind w:firstLine="540" w:firstLineChars="225"/>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单个零星项目工程结算和审计采用2018版安徽省建设工程计价依据（以下简称2018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等相关规定。人工费调整执行合肥市造价站最新相关文件规定；材料价格按合肥市造价站发布的市场价格信息（执行月份按工程开工前一个月），</w:t>
      </w:r>
      <w:r>
        <w:rPr>
          <w:rFonts w:hint="eastAsia" w:cs="等线" w:asciiTheme="minorEastAsia" w:hAnsiTheme="minorEastAsia" w:eastAsiaTheme="minorEastAsia"/>
          <w:b/>
          <w:bCs/>
          <w:color w:val="000000" w:themeColor="text1"/>
          <w:sz w:val="24"/>
          <w:szCs w:val="24"/>
          <w14:textFill>
            <w14:solidFill>
              <w14:schemeClr w14:val="tx1"/>
            </w14:solidFill>
          </w14:textFill>
        </w:rPr>
        <w:t>有品牌要求的材料或市场价格信息中没有的材料由建设单位组织相关单位进行市场询价。</w:t>
      </w:r>
    </w:p>
    <w:p>
      <w:pPr>
        <w:spacing w:line="520" w:lineRule="exact"/>
        <w:ind w:firstLine="540" w:firstLineChars="225"/>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5</w:t>
      </w:r>
      <w:r>
        <w:rPr>
          <w:rFonts w:cs="等线" w:asciiTheme="minorEastAsia" w:hAnsiTheme="minorEastAsia" w:eastAsiaTheme="minorEastAsia"/>
          <w:color w:val="000000" w:themeColor="text1"/>
          <w:sz w:val="24"/>
          <w:szCs w:val="24"/>
          <w14:textFill>
            <w14:solidFill>
              <w14:schemeClr w14:val="tx1"/>
            </w14:solidFill>
          </w14:textFill>
        </w:rPr>
        <w:t>.1.2</w:t>
      </w:r>
      <w:r>
        <w:rPr>
          <w:rFonts w:hint="eastAsia" w:cs="等线" w:asciiTheme="minorEastAsia" w:hAnsiTheme="minorEastAsia" w:eastAsiaTheme="minorEastAsia"/>
          <w:b/>
          <w:bCs/>
          <w:color w:val="000000" w:themeColor="text1"/>
          <w:sz w:val="24"/>
          <w:szCs w:val="24"/>
          <w14:textFill>
            <w14:solidFill>
              <w14:schemeClr w14:val="tx1"/>
            </w14:solidFill>
          </w14:textFill>
        </w:rPr>
        <w:t>本项目定点期正式开始之前或者在履约期内，定额标准有调整的，招标人保留调整的权利。</w:t>
      </w:r>
    </w:p>
    <w:p>
      <w:pPr>
        <w:spacing w:line="520" w:lineRule="exact"/>
        <w:ind w:firstLine="540" w:firstLineChars="225"/>
        <w:rPr>
          <w:rFonts w:cs="等线" w:asciiTheme="minorEastAsia" w:hAnsiTheme="minorEastAsia" w:eastAsiaTheme="minorEastAsia"/>
          <w:color w:val="000000" w:themeColor="text1"/>
          <w:sz w:val="24"/>
          <w:szCs w:val="24"/>
          <w14:textFill>
            <w14:solidFill>
              <w14:schemeClr w14:val="tx1"/>
            </w14:solidFill>
          </w14:textFill>
        </w:rPr>
      </w:pPr>
      <w:r>
        <w:rPr>
          <w:rFonts w:cs="等线" w:asciiTheme="minorEastAsia" w:hAnsiTheme="minorEastAsia" w:eastAsiaTheme="minorEastAsia"/>
          <w:color w:val="000000" w:themeColor="text1"/>
          <w:sz w:val="24"/>
          <w:szCs w:val="24"/>
          <w14:textFill>
            <w14:solidFill>
              <w14:schemeClr w14:val="tx1"/>
            </w14:solidFill>
          </w14:textFill>
        </w:rPr>
        <w:t>5.1.3</w:t>
      </w:r>
      <w:r>
        <w:rPr>
          <w:rFonts w:hint="eastAsia" w:cs="等线" w:asciiTheme="minorEastAsia" w:hAnsiTheme="minorEastAsia" w:eastAsiaTheme="minorEastAsia"/>
          <w:color w:val="000000" w:themeColor="text1"/>
          <w:sz w:val="24"/>
          <w:szCs w:val="24"/>
          <w14:textFill>
            <w14:solidFill>
              <w14:schemeClr w14:val="tx1"/>
            </w14:solidFill>
          </w14:textFill>
        </w:rPr>
        <w:t>乙方须进行现场勘查，各种风险须充分考虑，不得以任何理由提出变更等理由增加造价、调整价格。</w:t>
      </w:r>
    </w:p>
    <w:p>
      <w:pPr>
        <w:spacing w:line="520" w:lineRule="exact"/>
        <w:ind w:firstLine="540" w:firstLineChars="225"/>
        <w:rPr>
          <w:rFonts w:cs="等线" w:asciiTheme="minorEastAsia" w:hAnsiTheme="minorEastAsia" w:eastAsiaTheme="minorEastAsia"/>
          <w:color w:val="000000" w:themeColor="text1"/>
          <w:sz w:val="24"/>
          <w:szCs w:val="24"/>
          <w14:textFill>
            <w14:solidFill>
              <w14:schemeClr w14:val="tx1"/>
            </w14:solidFill>
          </w14:textFill>
        </w:rPr>
      </w:pPr>
      <w:r>
        <w:rPr>
          <w:rFonts w:cs="等线" w:asciiTheme="minorEastAsia" w:hAnsiTheme="minorEastAsia" w:eastAsiaTheme="minorEastAsia"/>
          <w:color w:val="000000" w:themeColor="text1"/>
          <w:sz w:val="24"/>
          <w:szCs w:val="24"/>
          <w14:textFill>
            <w14:solidFill>
              <w14:schemeClr w14:val="tx1"/>
            </w14:solidFill>
          </w14:textFill>
        </w:rPr>
        <w:t>5.1.5</w:t>
      </w:r>
      <w:r>
        <w:rPr>
          <w:rFonts w:hint="eastAsia" w:cs="等线" w:asciiTheme="minorEastAsia" w:hAnsiTheme="minorEastAsia" w:eastAsiaTheme="minorEastAsia"/>
          <w:color w:val="000000" w:themeColor="text1"/>
          <w:sz w:val="24"/>
          <w:szCs w:val="24"/>
          <w14:textFill>
            <w14:solidFill>
              <w14:schemeClr w14:val="tx1"/>
            </w14:solidFill>
          </w14:textFill>
        </w:rPr>
        <w:t>甲方在项目实际实施、验收过程中有权对施工内容进行调整，但是乙方不得对综合单价和其他条款作出任何改变。</w:t>
      </w:r>
    </w:p>
    <w:p>
      <w:pPr>
        <w:tabs>
          <w:tab w:val="left" w:pos="1080"/>
        </w:tabs>
        <w:spacing w:line="520" w:lineRule="exact"/>
        <w:ind w:firstLine="480" w:firstLineChars="200"/>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5.2履约保证金交纳：</w:t>
      </w:r>
      <w:r>
        <w:rPr>
          <w:rFonts w:hint="eastAsia" w:cs="等线" w:asciiTheme="minorEastAsia" w:hAnsiTheme="minorEastAsia" w:eastAsiaTheme="minorEastAsia"/>
          <w:b/>
          <w:bCs/>
          <w:color w:val="000000" w:themeColor="text1"/>
          <w:sz w:val="24"/>
          <w:szCs w:val="24"/>
          <w:u w:val="single"/>
          <w14:textFill>
            <w14:solidFill>
              <w14:schemeClr w14:val="tx1"/>
            </w14:solidFill>
          </w14:textFill>
        </w:rPr>
        <w:t>按招标文件方式进行交纳</w:t>
      </w:r>
      <w:r>
        <w:rPr>
          <w:rFonts w:hint="eastAsia" w:cs="等线" w:asciiTheme="minorEastAsia" w:hAnsiTheme="minorEastAsia" w:eastAsiaTheme="minorEastAsia"/>
          <w:color w:val="000000" w:themeColor="text1"/>
          <w:sz w:val="24"/>
          <w:szCs w:val="24"/>
          <w14:textFill>
            <w14:solidFill>
              <w14:schemeClr w14:val="tx1"/>
            </w14:solidFill>
          </w14:textFill>
        </w:rPr>
        <w:t>。</w:t>
      </w:r>
    </w:p>
    <w:p>
      <w:pPr>
        <w:tabs>
          <w:tab w:val="left" w:pos="1080"/>
        </w:tabs>
        <w:spacing w:line="520" w:lineRule="exact"/>
        <w:ind w:firstLine="480" w:firstLineChars="200"/>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 xml:space="preserve">5.3 付款方式： </w:t>
      </w:r>
    </w:p>
    <w:p>
      <w:pPr>
        <w:tabs>
          <w:tab w:val="left" w:pos="1080"/>
        </w:tabs>
        <w:spacing w:line="520" w:lineRule="exact"/>
        <w:ind w:firstLine="540"/>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（1）本项目按月支付进度款，每月度按照已完成并验收通过的工程审计价款的80%进行支付；</w:t>
      </w:r>
    </w:p>
    <w:p>
      <w:pPr>
        <w:tabs>
          <w:tab w:val="left" w:pos="1080"/>
        </w:tabs>
        <w:spacing w:line="520" w:lineRule="exact"/>
        <w:ind w:firstLine="540"/>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2）C地块消防验收备案完成，双方办理结算审计，支付至审计价款的97%，剩余3%作为质保金，待质保期二年满且乙方履行合同约定工程维修义务并回访使用单位，使用单位确认无质量维修问题后一个月内一次性支付尾款（无息），乙方未完成回访，视为未完成工程维修义务，甲方有权不支付3%质保金且不承担为任何违约责任。</w:t>
      </w:r>
    </w:p>
    <w:p>
      <w:pPr>
        <w:tabs>
          <w:tab w:val="left" w:pos="1080"/>
        </w:tabs>
        <w:spacing w:line="520" w:lineRule="exact"/>
        <w:ind w:firstLine="540"/>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（3）甲方支付工程款前乙方应提供合法合规的增值税专用发票，否则甲方有权延迟支付，并不承担任何违约责任。</w:t>
      </w:r>
    </w:p>
    <w:p>
      <w:pPr>
        <w:tabs>
          <w:tab w:val="left" w:pos="1080"/>
        </w:tabs>
        <w:spacing w:line="520" w:lineRule="exact"/>
        <w:ind w:firstLine="540"/>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乙方指定收款账户如下：</w:t>
      </w:r>
    </w:p>
    <w:p>
      <w:pPr>
        <w:adjustRightInd w:val="0"/>
        <w:snapToGrid w:val="0"/>
        <w:spacing w:line="520" w:lineRule="exact"/>
        <w:ind w:firstLine="482" w:firstLineChars="200"/>
        <w:rPr>
          <w:rFonts w:cs="等线" w:asciiTheme="minorEastAsia" w:hAnsiTheme="minorEastAsia" w:eastAsiaTheme="minorEastAsia"/>
          <w:color w:val="000000" w:themeColor="text1"/>
          <w:sz w:val="24"/>
          <w:szCs w:val="24"/>
          <w:u w:val="single"/>
          <w14:textFill>
            <w14:solidFill>
              <w14:schemeClr w14:val="tx1"/>
            </w14:solidFill>
          </w14:textFill>
        </w:rPr>
      </w:pPr>
      <w:r>
        <w:rPr>
          <w:rFonts w:hint="eastAsia" w:cs="等线" w:asciiTheme="minorEastAsia" w:hAnsiTheme="minorEastAsia" w:eastAsiaTheme="minorEastAsia"/>
          <w:b/>
          <w:bCs/>
          <w:color w:val="000000" w:themeColor="text1"/>
          <w:sz w:val="24"/>
          <w:szCs w:val="24"/>
          <w:lang w:bidi="ar"/>
          <w14:textFill>
            <w14:solidFill>
              <w14:schemeClr w14:val="tx1"/>
            </w14:solidFill>
          </w14:textFill>
        </w:rPr>
        <w:t>开户名称：</w:t>
      </w:r>
      <w:r>
        <w:rPr>
          <w:rFonts w:hint="eastAsia" w:cs="等线" w:asciiTheme="minorEastAsia" w:hAnsiTheme="minorEastAsia" w:eastAsiaTheme="minorEastAsia"/>
          <w:b/>
          <w:bCs/>
          <w:color w:val="000000" w:themeColor="text1"/>
          <w:sz w:val="24"/>
          <w:szCs w:val="24"/>
          <w:u w:val="single"/>
          <w:lang w:bidi="ar"/>
          <w14:textFill>
            <w14:solidFill>
              <w14:schemeClr w14:val="tx1"/>
            </w14:solidFill>
          </w14:textFill>
        </w:rPr>
        <w:t xml:space="preserve">                    </w:t>
      </w:r>
    </w:p>
    <w:p>
      <w:pPr>
        <w:adjustRightInd w:val="0"/>
        <w:snapToGrid w:val="0"/>
        <w:spacing w:line="520" w:lineRule="exact"/>
        <w:ind w:firstLine="482" w:firstLineChars="200"/>
        <w:rPr>
          <w:rFonts w:cs="等线" w:asciiTheme="minorEastAsia" w:hAnsiTheme="minorEastAsia" w:eastAsiaTheme="minorEastAsia"/>
          <w:color w:val="000000" w:themeColor="text1"/>
          <w:sz w:val="24"/>
          <w:szCs w:val="24"/>
          <w:u w:val="single"/>
          <w14:textFill>
            <w14:solidFill>
              <w14:schemeClr w14:val="tx1"/>
            </w14:solidFill>
          </w14:textFill>
        </w:rPr>
      </w:pPr>
      <w:r>
        <w:rPr>
          <w:rFonts w:hint="eastAsia" w:cs="等线" w:asciiTheme="minorEastAsia" w:hAnsiTheme="minorEastAsia" w:eastAsiaTheme="minorEastAsia"/>
          <w:b/>
          <w:bCs/>
          <w:color w:val="000000" w:themeColor="text1"/>
          <w:sz w:val="24"/>
          <w:szCs w:val="24"/>
          <w:lang w:bidi="ar"/>
          <w14:textFill>
            <w14:solidFill>
              <w14:schemeClr w14:val="tx1"/>
            </w14:solidFill>
          </w14:textFill>
        </w:rPr>
        <w:t>开 户 行：</w:t>
      </w:r>
      <w:r>
        <w:rPr>
          <w:rFonts w:hint="eastAsia" w:cs="等线" w:asciiTheme="minorEastAsia" w:hAnsiTheme="minorEastAsia" w:eastAsiaTheme="minorEastAsia"/>
          <w:b/>
          <w:bCs/>
          <w:color w:val="000000" w:themeColor="text1"/>
          <w:sz w:val="24"/>
          <w:szCs w:val="24"/>
          <w:u w:val="single"/>
          <w:lang w:bidi="ar"/>
          <w14:textFill>
            <w14:solidFill>
              <w14:schemeClr w14:val="tx1"/>
            </w14:solidFill>
          </w14:textFill>
        </w:rPr>
        <w:t xml:space="preserve">                    </w:t>
      </w:r>
    </w:p>
    <w:p>
      <w:pPr>
        <w:adjustRightInd w:val="0"/>
        <w:snapToGrid w:val="0"/>
        <w:spacing w:line="520" w:lineRule="exact"/>
        <w:ind w:firstLine="482" w:firstLineChars="200"/>
        <w:rPr>
          <w:rFonts w:cs="等线" w:asciiTheme="minorEastAsia" w:hAnsiTheme="minorEastAsia" w:eastAsiaTheme="minorEastAsia"/>
          <w:color w:val="000000" w:themeColor="text1"/>
          <w:sz w:val="24"/>
          <w:szCs w:val="24"/>
          <w:u w:val="single"/>
          <w14:textFill>
            <w14:solidFill>
              <w14:schemeClr w14:val="tx1"/>
            </w14:solidFill>
          </w14:textFill>
        </w:rPr>
      </w:pPr>
      <w:r>
        <w:rPr>
          <w:rFonts w:hint="eastAsia" w:cs="等线" w:asciiTheme="minorEastAsia" w:hAnsiTheme="minorEastAsia" w:eastAsiaTheme="minorEastAsia"/>
          <w:b/>
          <w:bCs/>
          <w:color w:val="000000" w:themeColor="text1"/>
          <w:sz w:val="24"/>
          <w:szCs w:val="24"/>
          <w:lang w:bidi="ar"/>
          <w14:textFill>
            <w14:solidFill>
              <w14:schemeClr w14:val="tx1"/>
            </w14:solidFill>
          </w14:textFill>
        </w:rPr>
        <w:t>账    号：</w:t>
      </w:r>
      <w:r>
        <w:rPr>
          <w:rFonts w:cs="等线" w:asciiTheme="minorEastAsia" w:hAnsiTheme="minorEastAsia" w:eastAsiaTheme="minorEastAsia"/>
          <w:b/>
          <w:bCs/>
          <w:color w:val="000000" w:themeColor="text1"/>
          <w:sz w:val="24"/>
          <w:szCs w:val="24"/>
          <w:u w:val="single"/>
          <w:lang w:bidi="ar"/>
          <w14:textFill>
            <w14:solidFill>
              <w14:schemeClr w14:val="tx1"/>
            </w14:solidFill>
          </w14:textFill>
        </w:rPr>
        <w:t xml:space="preserve">  </w:t>
      </w:r>
      <w:r>
        <w:rPr>
          <w:rFonts w:hint="eastAsia" w:cs="等线" w:asciiTheme="minorEastAsia" w:hAnsiTheme="minorEastAsia" w:eastAsiaTheme="minorEastAsia"/>
          <w:b/>
          <w:bCs/>
          <w:color w:val="000000" w:themeColor="text1"/>
          <w:sz w:val="24"/>
          <w:szCs w:val="24"/>
          <w:u w:val="single"/>
          <w:lang w:bidi="ar"/>
          <w14:textFill>
            <w14:solidFill>
              <w14:schemeClr w14:val="tx1"/>
            </w14:solidFill>
          </w14:textFill>
        </w:rPr>
        <w:t xml:space="preserve">                  </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乙方保证提供的账户信息准确无误，乙方账户信息如有变更，应在合同规定的付款时间基础上至少提前</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日以书面方式通知甲方。如乙方未按时通知或通知有误而导致甲方延期付款或无法转账的，甲方不承担任何责任。</w:t>
      </w:r>
    </w:p>
    <w:p>
      <w:pPr>
        <w:tabs>
          <w:tab w:val="left" w:pos="1080"/>
        </w:tabs>
        <w:spacing w:line="520" w:lineRule="exact"/>
        <w:ind w:firstLine="540"/>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第六条 材料供应</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6.1乙方需按甲方下发的任务单、指令单、施工图载明的各种材料、成品、半成品提前向甲方提供样本或样品，其材料、成品及半成品必须符合本合同约定及甲方要求，并以标签注明其生产厂家、规格、型号、品牌、产地及计量单价等。经甲方审核确认后，双方封存并作为材料供应及工程验收的依据。</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6</w:t>
      </w:r>
      <w:r>
        <w:rPr>
          <w:rFonts w:cs="等线"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乙方免费提供的样品，经双方确认后共同封存，作为本工程材料检验的重要标准之一</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6.</w:t>
      </w:r>
      <w:r>
        <w:rPr>
          <w:rFonts w:cs="等线" w:asciiTheme="minorEastAsia" w:hAnsiTheme="minorEastAsia" w:eastAsiaTheme="minorEastAsia"/>
          <w:color w:val="000000" w:themeColor="text1"/>
          <w:sz w:val="24"/>
          <w:szCs w:val="24"/>
          <w14:textFill>
            <w14:solidFill>
              <w14:schemeClr w14:val="tx1"/>
            </w14:solidFill>
          </w14:textFill>
        </w:rPr>
        <w:t>3</w:t>
      </w:r>
      <w:r>
        <w:rPr>
          <w:rFonts w:hint="eastAsia" w:cs="等线" w:asciiTheme="minorEastAsia" w:hAnsiTheme="minorEastAsia" w:eastAsiaTheme="minorEastAsia"/>
          <w:color w:val="000000" w:themeColor="text1"/>
          <w:sz w:val="24"/>
          <w:szCs w:val="24"/>
          <w14:textFill>
            <w14:solidFill>
              <w14:schemeClr w14:val="tx1"/>
            </w14:solidFill>
          </w14:textFill>
        </w:rPr>
        <w:t xml:space="preserve">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6.</w:t>
      </w:r>
      <w:r>
        <w:rPr>
          <w:rFonts w:cs="等线" w:asciiTheme="minorEastAsia" w:hAnsiTheme="minorEastAsia" w:eastAsiaTheme="minorEastAsia"/>
          <w:color w:val="000000" w:themeColor="text1"/>
          <w:sz w:val="24"/>
          <w:szCs w:val="24"/>
          <w14:textFill>
            <w14:solidFill>
              <w14:schemeClr w14:val="tx1"/>
            </w14:solidFill>
          </w14:textFill>
        </w:rPr>
        <w:t>4</w:t>
      </w:r>
      <w:r>
        <w:rPr>
          <w:rFonts w:hint="eastAsia" w:cs="等线" w:asciiTheme="minorEastAsia" w:hAnsiTheme="minorEastAsia" w:eastAsiaTheme="minorEastAsia"/>
          <w:color w:val="000000" w:themeColor="text1"/>
          <w:sz w:val="24"/>
          <w:szCs w:val="24"/>
          <w14:textFill>
            <w14:solidFill>
              <w14:schemeClr w14:val="tx1"/>
            </w14:solidFill>
          </w14:textFill>
        </w:rPr>
        <w:t xml:space="preserve"> 乙方供应的材料、设备，如不符合质量要求或规格有差异，应禁止使用。如已使用，对工程造成的损失由乙方负责。如乙方提供的材料、设备系伪劣商品，应按材料、设备价款的双倍向甲方支付违约金，如造成甲方损失的，应予赔偿。</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6</w:t>
      </w:r>
      <w:r>
        <w:rPr>
          <w:rFonts w:cs="等线"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未经甲方书面许可，乙方不得擅自使用代替的设备或材料。否则，无论工程是否竣工，甲方均有权要求乙方从本项目招标文件推荐品牌中选择、满足技术参数要求，且价格不变，否则甲方有权终止合同。且乙方应自行承担更换的费用和赔偿甲方遭受的全部经济损失，工期不予顺延。</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6.6</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乙方提前交货的产品、多交的产品和不符合合同规定的产品，在代保管期内实际支付的保管、保养等费用以及非因甲方保管不善而发生的损失，均由乙方承担。</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第七条 工程验收</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7.1凡隐蔽工程隐蔽前，乙方必须进行自检合格后书面通知甲方按相关的规范标准及设计要求进行验收，经监理人、甲方检验确认合格并书面确认后方可隐蔽。凡检验不合格的，乙方必须在监理人、甲方限定的时间内进行返工修改，返工修改后通知监理人、甲方重新验收，由此所发生的费用由乙方承担。</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7.2乙方应在每项工程完工具备验收条件</w:t>
      </w:r>
      <w:r>
        <w:rPr>
          <w:rFonts w:hint="eastAsia" w:cs="等线"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等线" w:asciiTheme="minorEastAsia" w:hAnsiTheme="minorEastAsia" w:eastAsiaTheme="minorEastAsia"/>
          <w:b/>
          <w:bCs/>
          <w:color w:val="000000" w:themeColor="text1"/>
          <w:sz w:val="24"/>
          <w:szCs w:val="24"/>
          <w:u w:val="single"/>
          <w14:textFill>
            <w14:solidFill>
              <w14:schemeClr w14:val="tx1"/>
            </w14:solidFill>
          </w14:textFill>
        </w:rPr>
        <w:t xml:space="preserve">2 </w:t>
      </w:r>
      <w:r>
        <w:rPr>
          <w:rFonts w:hint="eastAsia" w:cs="等线" w:asciiTheme="minorEastAsia" w:hAnsiTheme="minorEastAsia" w:eastAsiaTheme="minorEastAsia"/>
          <w:color w:val="000000" w:themeColor="text1"/>
          <w:sz w:val="24"/>
          <w:szCs w:val="24"/>
          <w14:textFill>
            <w14:solidFill>
              <w14:schemeClr w14:val="tx1"/>
            </w14:solidFill>
          </w14:textFill>
        </w:rPr>
        <w:t>日前通知甲方，以便监理方、甲方做好工程验收准备。当工程完工具备验收条件，乙方对已完工程量自检合格并符合本合同要求时，向监理方、甲方提交工程竣工报告和完整的工程技术资料，经甲方审核确认后组织工程竣工验收。</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7.3工程经甲方及相关部门（如需）竣工验收合格符合本合同要求、乙方清理好场地，在验收合格后</w:t>
      </w:r>
      <w:r>
        <w:rPr>
          <w:rFonts w:hint="eastAsia" w:cs="等线" w:asciiTheme="minorEastAsia" w:hAnsiTheme="minorEastAsia" w:eastAsiaTheme="minorEastAsia"/>
          <w:b/>
          <w:bCs/>
          <w:color w:val="000000" w:themeColor="text1"/>
          <w:sz w:val="24"/>
          <w:szCs w:val="24"/>
          <w:u w:val="single"/>
          <w14:textFill>
            <w14:solidFill>
              <w14:schemeClr w14:val="tx1"/>
            </w14:solidFill>
          </w14:textFill>
        </w:rPr>
        <w:t>3</w:t>
      </w:r>
      <w:r>
        <w:rPr>
          <w:rFonts w:cs="等线" w:asciiTheme="minorEastAsia" w:hAnsiTheme="minorEastAsia" w:eastAsiaTheme="minorEastAsia"/>
          <w:b/>
          <w:bCs/>
          <w:color w:val="000000" w:themeColor="text1"/>
          <w:sz w:val="24"/>
          <w:szCs w:val="24"/>
          <w:u w:val="single"/>
          <w14:textFill>
            <w14:solidFill>
              <w14:schemeClr w14:val="tx1"/>
            </w14:solidFill>
          </w14:textFill>
        </w:rPr>
        <w:t>0</w:t>
      </w:r>
      <w:r>
        <w:rPr>
          <w:rFonts w:hint="eastAsia" w:cs="等线" w:asciiTheme="minorEastAsia" w:hAnsiTheme="minorEastAsia" w:eastAsiaTheme="minorEastAsia"/>
          <w:color w:val="000000" w:themeColor="text1"/>
          <w:sz w:val="24"/>
          <w:szCs w:val="24"/>
          <w14:textFill>
            <w14:solidFill>
              <w14:schemeClr w14:val="tx1"/>
            </w14:solidFill>
          </w14:textFill>
        </w:rPr>
        <w:t>日内移交全部工程。自乙方实际移交全部工程之日为竣工日。</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7.4乙方未按本合同约定履行竣工验收义务的，甲方有权拒绝验收，因此而造成逾期竣工的，乙方应当承担逾期竣工的责任。甲方如同意验收，并不免除乙方提交相关报告、文件、资料的义务。</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第八条 甲方权利义务</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8.1负责提供施工用水、用电接驳点。</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8.2负责工程检验、监督及组织验收。</w:t>
      </w:r>
    </w:p>
    <w:p>
      <w:pPr>
        <w:spacing w:line="520" w:lineRule="exact"/>
        <w:ind w:left="1"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8.3负责工程量的签证确认，工程结算及支付应付工程款。</w:t>
      </w:r>
    </w:p>
    <w:p>
      <w:pPr>
        <w:spacing w:line="520" w:lineRule="exact"/>
        <w:ind w:left="1"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8.4甲方驻现场代表为</w:t>
      </w:r>
      <w:r>
        <w:rPr>
          <w:rFonts w:hint="eastAsia" w:cs="等线" w:asciiTheme="minorEastAsia" w:hAnsiTheme="minorEastAsia" w:eastAsiaTheme="minorEastAsia"/>
          <w:b/>
          <w:bCs/>
          <w:color w:val="000000" w:themeColor="text1"/>
          <w:sz w:val="24"/>
          <w:szCs w:val="24"/>
          <w:u w:val="single"/>
          <w14:textFill>
            <w14:solidFill>
              <w14:schemeClr w14:val="tx1"/>
            </w14:solidFill>
          </w14:textFill>
        </w:rPr>
        <w:t xml:space="preserve">      </w:t>
      </w:r>
      <w:r>
        <w:rPr>
          <w:rFonts w:hint="eastAsia" w:cs="等线" w:asciiTheme="minorEastAsia" w:hAnsiTheme="minorEastAsia" w:eastAsiaTheme="minorEastAsia"/>
          <w:color w:val="000000" w:themeColor="text1"/>
          <w:sz w:val="24"/>
          <w:szCs w:val="24"/>
          <w14:textFill>
            <w14:solidFill>
              <w14:schemeClr w14:val="tx1"/>
            </w14:solidFill>
          </w14:textFill>
        </w:rPr>
        <w:t>，负责与乙方现场联络以及往来函件的签收。有关工期、工程量、工程质量、工程价款</w:t>
      </w:r>
      <w:r>
        <w:rPr>
          <w:rFonts w:hint="eastAsia" w:asciiTheme="minorEastAsia" w:hAnsiTheme="minorEastAsia" w:eastAsiaTheme="minorEastAsia" w:cstheme="minorEastAsia"/>
          <w:color w:val="000000" w:themeColor="text1"/>
          <w:sz w:val="24"/>
          <w:szCs w:val="24"/>
          <w14:textFill>
            <w14:solidFill>
              <w14:schemeClr w14:val="tx1"/>
            </w14:solidFill>
          </w14:textFill>
        </w:rPr>
        <w:t>的确认、支付等事项须加盖甲方公章并需甲方代表签字确认方为有效，缺一不可，否则，对甲方不发生效力。</w:t>
      </w:r>
      <w:r>
        <w:rPr>
          <w:rFonts w:hint="eastAsia" w:cs="等线" w:asciiTheme="minorEastAsia" w:hAnsiTheme="minorEastAsia" w:eastAsiaTheme="minorEastAsia"/>
          <w:color w:val="000000" w:themeColor="text1"/>
          <w:sz w:val="24"/>
          <w:szCs w:val="24"/>
          <w14:textFill>
            <w14:solidFill>
              <w14:schemeClr w14:val="tx1"/>
            </w14:solidFill>
          </w14:textFill>
        </w:rPr>
        <w:t>，缺一不可，否则不发生效力。</w:t>
      </w:r>
    </w:p>
    <w:p>
      <w:pPr>
        <w:spacing w:line="520" w:lineRule="exact"/>
        <w:ind w:left="1"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8.5甲方有权随时通知乙方解除本合同，双方据实结算工程款，除此之外，甲方不承担任何其他责任。</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第九条 乙方权利义务</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 xml:space="preserve">9.1 </w:t>
      </w: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签署前，乙方已勘察过甲方场地、施工现场（包括但不限于材料的堆放、运输通道），施工场地及施工现场完全符合乙方施工要求。如施工过程中乙方有其他额外要求，由此产生的费用乙方自行承担，工期不予顺延。</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w:t>
      </w:r>
      <w:r>
        <w:rPr>
          <w:rFonts w:cs="等线" w:asciiTheme="minorEastAsia" w:hAnsiTheme="minorEastAsia" w:eastAsiaTheme="minorEastAsia"/>
          <w:color w:val="000000" w:themeColor="text1"/>
          <w:sz w:val="24"/>
          <w:szCs w:val="24"/>
          <w14:textFill>
            <w14:solidFill>
              <w14:schemeClr w14:val="tx1"/>
            </w14:solidFill>
          </w14:textFill>
        </w:rPr>
        <w:t>.2</w:t>
      </w:r>
      <w:r>
        <w:rPr>
          <w:rFonts w:hint="eastAsia" w:cs="等线" w:asciiTheme="minorEastAsia" w:hAnsiTheme="minorEastAsia" w:eastAsiaTheme="minorEastAsia"/>
          <w:color w:val="000000" w:themeColor="text1"/>
          <w:sz w:val="24"/>
          <w:szCs w:val="24"/>
          <w14:textFill>
            <w14:solidFill>
              <w14:schemeClr w14:val="tx1"/>
            </w14:solidFill>
          </w14:textFill>
        </w:rPr>
        <w:t>应严格按照国家施工验收规范、工程质量检验评定标准及施工图纸施工。并按照甲方的要求，对其工程承包范围的工程质量、工程进度、施工技术、标准化安全生产等负责做好各项管理工作。</w:t>
      </w:r>
    </w:p>
    <w:p>
      <w:pPr>
        <w:adjustRightInd w:val="0"/>
        <w:snapToGrid w:val="0"/>
        <w:spacing w:line="520" w:lineRule="exact"/>
        <w:ind w:firstLine="480" w:firstLineChars="200"/>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w:t>
      </w:r>
      <w:r>
        <w:rPr>
          <w:rFonts w:cs="等线" w:asciiTheme="minorEastAsia" w:hAnsiTheme="minorEastAsia" w:eastAsiaTheme="minorEastAsia"/>
          <w:color w:val="000000" w:themeColor="text1"/>
          <w:sz w:val="24"/>
          <w:szCs w:val="24"/>
          <w14:textFill>
            <w14:solidFill>
              <w14:schemeClr w14:val="tx1"/>
            </w14:solidFill>
          </w14:textFill>
        </w:rPr>
        <w:t>3</w:t>
      </w:r>
      <w:r>
        <w:rPr>
          <w:rFonts w:hint="eastAsia" w:cs="等线"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服从甲方、监理单位、代建单位（如有）对施工现场的管理</w:t>
      </w:r>
      <w:r>
        <w:rPr>
          <w:rFonts w:hint="eastAsia" w:cs="等线" w:asciiTheme="minorEastAsia" w:hAnsiTheme="minorEastAsia" w:eastAsiaTheme="minorEastAsia"/>
          <w:color w:val="000000" w:themeColor="text1"/>
          <w:sz w:val="24"/>
          <w:szCs w:val="24"/>
          <w14:textFill>
            <w14:solidFill>
              <w14:schemeClr w14:val="tx1"/>
            </w14:solidFill>
          </w14:textFill>
        </w:rPr>
        <w:t>、监督，</w:t>
      </w:r>
      <w:r>
        <w:rPr>
          <w:rFonts w:hint="eastAsia" w:asciiTheme="minorEastAsia" w:hAnsiTheme="minorEastAsia" w:eastAsiaTheme="minorEastAsia" w:cstheme="minorEastAsia"/>
          <w:color w:val="000000" w:themeColor="text1"/>
          <w:sz w:val="24"/>
          <w:szCs w:val="24"/>
          <w14:textFill>
            <w14:solidFill>
              <w14:schemeClr w14:val="tx1"/>
            </w14:solidFill>
          </w14:textFill>
        </w:rPr>
        <w:t>未经甲方书面通同意，不得转让其在合同项下的权利和（或）义务。并</w:t>
      </w:r>
      <w:r>
        <w:rPr>
          <w:rFonts w:hint="eastAsia" w:cs="等线" w:asciiTheme="minorEastAsia" w:hAnsiTheme="minorEastAsia" w:eastAsiaTheme="minorEastAsia"/>
          <w:color w:val="000000" w:themeColor="text1"/>
          <w:sz w:val="24"/>
          <w:szCs w:val="24"/>
          <w14:textFill>
            <w14:solidFill>
              <w14:schemeClr w14:val="tx1"/>
            </w14:solidFill>
          </w14:textFill>
        </w:rPr>
        <w:t>负责做好安全生产、文明施工。如因乙方原因达不到有关规定标准，所造成的责任和罚款由乙方自行承担。</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lang w:bidi="ar"/>
          <w14:textFill>
            <w14:solidFill>
              <w14:schemeClr w14:val="tx1"/>
            </w14:solidFill>
          </w14:textFill>
        </w:rPr>
        <w:t>9</w:t>
      </w:r>
      <w:r>
        <w:rPr>
          <w:rFonts w:cs="等线" w:asciiTheme="minorEastAsia" w:hAnsiTheme="minorEastAsia" w:eastAsiaTheme="minorEastAsia"/>
          <w:color w:val="000000" w:themeColor="text1"/>
          <w:sz w:val="24"/>
          <w:szCs w:val="24"/>
          <w:lang w:bidi="ar"/>
          <w14:textFill>
            <w14:solidFill>
              <w14:schemeClr w14:val="tx1"/>
            </w14:solidFill>
          </w14:textFill>
        </w:rPr>
        <w:t>.4</w:t>
      </w:r>
      <w:r>
        <w:rPr>
          <w:rFonts w:hint="eastAsia" w:cs="等线" w:asciiTheme="minorEastAsia" w:hAnsiTheme="minorEastAsia" w:eastAsiaTheme="minorEastAsia"/>
          <w:color w:val="000000" w:themeColor="text1"/>
          <w:sz w:val="24"/>
          <w:szCs w:val="24"/>
          <w:lang w:bidi="ar"/>
          <w14:textFill>
            <w14:solidFill>
              <w14:schemeClr w14:val="tx1"/>
            </w14:solidFill>
          </w14:textFill>
        </w:rPr>
        <w:t>乙方指派</w:t>
      </w:r>
      <w:r>
        <w:rPr>
          <w:rFonts w:hint="eastAsia" w:cs="等线" w:asciiTheme="minorEastAsia" w:hAnsiTheme="minorEastAsia" w:eastAsiaTheme="minorEastAsia"/>
          <w:color w:val="000000" w:themeColor="text1"/>
          <w:sz w:val="24"/>
          <w:szCs w:val="24"/>
          <w:u w:val="single"/>
          <w:lang w:bidi="ar"/>
          <w14:textFill>
            <w14:solidFill>
              <w14:schemeClr w14:val="tx1"/>
            </w14:solidFill>
          </w14:textFill>
        </w:rPr>
        <w:t xml:space="preserve"> </w:t>
      </w:r>
      <w:r>
        <w:rPr>
          <w:rFonts w:hint="eastAsia" w:cs="等线" w:asciiTheme="minorEastAsia" w:hAnsiTheme="minorEastAsia" w:eastAsiaTheme="minorEastAsia"/>
          <w:b/>
          <w:bCs/>
          <w:color w:val="000000" w:themeColor="text1"/>
          <w:sz w:val="24"/>
          <w:szCs w:val="24"/>
          <w:u w:val="single"/>
          <w:lang w:bidi="ar"/>
          <w14:textFill>
            <w14:solidFill>
              <w14:schemeClr w14:val="tx1"/>
            </w14:solidFill>
          </w14:textFill>
        </w:rPr>
        <w:t xml:space="preserve">    </w:t>
      </w:r>
      <w:r>
        <w:rPr>
          <w:rFonts w:cs="等线" w:asciiTheme="minorEastAsia" w:hAnsiTheme="minorEastAsia" w:eastAsiaTheme="minorEastAsia"/>
          <w:color w:val="000000" w:themeColor="text1"/>
          <w:sz w:val="24"/>
          <w:szCs w:val="24"/>
          <w:u w:val="single"/>
          <w:lang w:bidi="ar"/>
          <w14:textFill>
            <w14:solidFill>
              <w14:schemeClr w14:val="tx1"/>
            </w14:solidFill>
          </w14:textFill>
        </w:rPr>
        <w:t xml:space="preserve">  </w:t>
      </w:r>
      <w:r>
        <w:rPr>
          <w:rFonts w:hint="eastAsia" w:cs="等线" w:asciiTheme="minorEastAsia" w:hAnsiTheme="minorEastAsia" w:eastAsiaTheme="minorEastAsia"/>
          <w:color w:val="000000" w:themeColor="text1"/>
          <w:sz w:val="24"/>
          <w:szCs w:val="24"/>
          <w:lang w:bidi="ar"/>
          <w14:textFill>
            <w14:solidFill>
              <w14:schemeClr w14:val="tx1"/>
            </w14:solidFill>
          </w14:textFill>
        </w:rPr>
        <w:t>为乙方代表（联系方式：</w:t>
      </w:r>
      <w:r>
        <w:rPr>
          <w:rFonts w:cs="等线" w:asciiTheme="minorEastAsia" w:hAnsiTheme="minorEastAsia" w:eastAsiaTheme="minorEastAsia"/>
          <w:color w:val="000000" w:themeColor="text1"/>
          <w:sz w:val="24"/>
          <w:szCs w:val="24"/>
          <w:u w:val="single"/>
          <w:lang w:bidi="ar"/>
          <w14:textFill>
            <w14:solidFill>
              <w14:schemeClr w14:val="tx1"/>
            </w14:solidFill>
          </w14:textFill>
        </w:rPr>
        <w:t xml:space="preserve"> </w:t>
      </w:r>
      <w:r>
        <w:rPr>
          <w:rFonts w:cs="等线" w:asciiTheme="minorEastAsia" w:hAnsiTheme="minorEastAsia" w:eastAsiaTheme="minorEastAsia"/>
          <w:b/>
          <w:bCs/>
          <w:color w:val="000000" w:themeColor="text1"/>
          <w:sz w:val="24"/>
          <w:szCs w:val="24"/>
          <w:u w:val="single"/>
          <w:lang w:bidi="ar"/>
          <w14:textFill>
            <w14:solidFill>
              <w14:schemeClr w14:val="tx1"/>
            </w14:solidFill>
          </w14:textFill>
        </w:rPr>
        <w:t xml:space="preserve"> </w:t>
      </w:r>
      <w:r>
        <w:rPr>
          <w:rFonts w:hint="eastAsia" w:cs="等线" w:asciiTheme="minorEastAsia" w:hAnsiTheme="minorEastAsia" w:eastAsiaTheme="minorEastAsia"/>
          <w:b/>
          <w:bCs/>
          <w:color w:val="000000" w:themeColor="text1"/>
          <w:sz w:val="24"/>
          <w:szCs w:val="24"/>
          <w:u w:val="single"/>
          <w:lang w:bidi="ar"/>
          <w14:textFill>
            <w14:solidFill>
              <w14:schemeClr w14:val="tx1"/>
            </w14:solidFill>
          </w14:textFill>
        </w:rPr>
        <w:t xml:space="preserve">     </w:t>
      </w:r>
      <w:r>
        <w:rPr>
          <w:rFonts w:cs="等线" w:asciiTheme="minorEastAsia" w:hAnsiTheme="minorEastAsia" w:eastAsiaTheme="minorEastAsia"/>
          <w:b/>
          <w:bCs/>
          <w:color w:val="000000" w:themeColor="text1"/>
          <w:sz w:val="24"/>
          <w:szCs w:val="24"/>
          <w:u w:val="single"/>
          <w:lang w:bidi="ar"/>
          <w14:textFill>
            <w14:solidFill>
              <w14:schemeClr w14:val="tx1"/>
            </w14:solidFill>
          </w14:textFill>
        </w:rPr>
        <w:t xml:space="preserve"> </w:t>
      </w:r>
      <w:r>
        <w:rPr>
          <w:rFonts w:cs="等线" w:asciiTheme="minorEastAsia" w:hAnsiTheme="minorEastAsia" w:eastAsiaTheme="minorEastAsia"/>
          <w:color w:val="000000" w:themeColor="text1"/>
          <w:sz w:val="24"/>
          <w:szCs w:val="24"/>
          <w:u w:val="single"/>
          <w:lang w:bidi="ar"/>
          <w14:textFill>
            <w14:solidFill>
              <w14:schemeClr w14:val="tx1"/>
            </w14:solidFill>
          </w14:textFill>
        </w:rPr>
        <w:t xml:space="preserve"> </w:t>
      </w:r>
      <w:r>
        <w:rPr>
          <w:rFonts w:hint="eastAsia" w:cs="等线" w:asciiTheme="minorEastAsia" w:hAnsiTheme="minorEastAsia" w:eastAsiaTheme="minorEastAsia"/>
          <w:color w:val="000000" w:themeColor="text1"/>
          <w:sz w:val="24"/>
          <w:szCs w:val="24"/>
          <w:lang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负责合同履行，负责乙方施工人员管理，按施工计划组织工程施工。该负责人向甲方所做出的任何承诺、保证、函件、签字、确认等均视为乙方的行为，均由乙方承担责任。</w:t>
      </w:r>
    </w:p>
    <w:p>
      <w:pPr>
        <w:spacing w:line="520" w:lineRule="exact"/>
        <w:ind w:firstLine="460" w:firstLineChars="192"/>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w:t>
      </w:r>
      <w:r>
        <w:rPr>
          <w:rFonts w:cs="等线"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乙方必须根据甲方要求的时间节点进行施工计划安排，确保用户使用正常，否则，均由乙方承担相关责任和损失。</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w:t>
      </w:r>
      <w:r>
        <w:rPr>
          <w:rFonts w:cs="等线" w:asciiTheme="minorEastAsia" w:hAnsiTheme="minorEastAsia" w:eastAsiaTheme="minorEastAsia"/>
          <w:color w:val="000000" w:themeColor="text1"/>
          <w:sz w:val="24"/>
          <w:szCs w:val="24"/>
          <w14:textFill>
            <w14:solidFill>
              <w14:schemeClr w14:val="tx1"/>
            </w14:solidFill>
          </w14:textFill>
        </w:rPr>
        <w:t>.6</w:t>
      </w:r>
      <w:r>
        <w:rPr>
          <w:rFonts w:hint="eastAsia" w:cs="等线" w:asciiTheme="minorEastAsia" w:hAnsiTheme="minorEastAsia" w:eastAsiaTheme="minorEastAsia"/>
          <w:color w:val="000000" w:themeColor="text1"/>
          <w:sz w:val="24"/>
          <w:szCs w:val="24"/>
          <w14:textFill>
            <w14:solidFill>
              <w14:schemeClr w14:val="tx1"/>
            </w14:solidFill>
          </w14:textFill>
        </w:rPr>
        <w:t>经甲方提供施工用水、电的接驳位置后，从接驳点再接出至具体作业区的管线由乙方自费安装；由乙方自费按表计量，并承担用水用电所发生的费用。</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w:t>
      </w:r>
      <w:r>
        <w:rPr>
          <w:rFonts w:cs="等线" w:asciiTheme="minorEastAsia" w:hAnsiTheme="minorEastAsia" w:eastAsiaTheme="minorEastAsia"/>
          <w:color w:val="000000" w:themeColor="text1"/>
          <w:sz w:val="24"/>
          <w:szCs w:val="24"/>
          <w14:textFill>
            <w14:solidFill>
              <w14:schemeClr w14:val="tx1"/>
            </w14:solidFill>
          </w14:textFill>
        </w:rPr>
        <w:t>7</w:t>
      </w:r>
      <w:r>
        <w:rPr>
          <w:rFonts w:hint="eastAsia" w:cs="等线" w:asciiTheme="minorEastAsia" w:hAnsiTheme="minorEastAsia" w:eastAsiaTheme="minorEastAsia"/>
          <w:color w:val="000000" w:themeColor="text1"/>
          <w:sz w:val="24"/>
          <w:szCs w:val="24"/>
          <w14:textFill>
            <w14:solidFill>
              <w14:schemeClr w14:val="tx1"/>
            </w14:solidFill>
          </w14:textFill>
        </w:rPr>
        <w:t>工程竣工验收时，如发现质量不合格，乙方应按甲方的指令限期返工修改，修改后以书面形式通知甲方重新验收，直至验收合格，因此所发生的工期延误责任及费用由乙方自行承担。</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w:t>
      </w:r>
      <w:r>
        <w:rPr>
          <w:rFonts w:cs="等线" w:asciiTheme="minorEastAsia" w:hAnsiTheme="minorEastAsia" w:eastAsiaTheme="minorEastAsia"/>
          <w:color w:val="000000" w:themeColor="text1"/>
          <w:sz w:val="24"/>
          <w:szCs w:val="24"/>
          <w14:textFill>
            <w14:solidFill>
              <w14:schemeClr w14:val="tx1"/>
            </w14:solidFill>
          </w14:textFill>
        </w:rPr>
        <w:t>8</w:t>
      </w:r>
      <w:r>
        <w:rPr>
          <w:rFonts w:hint="eastAsia" w:cs="等线" w:asciiTheme="minorEastAsia" w:hAnsiTheme="minorEastAsia" w:eastAsiaTheme="minorEastAsia"/>
          <w:color w:val="000000" w:themeColor="text1"/>
          <w:sz w:val="24"/>
          <w:szCs w:val="24"/>
          <w14:textFill>
            <w14:solidFill>
              <w14:schemeClr w14:val="tx1"/>
            </w14:solidFill>
          </w14:textFill>
        </w:rPr>
        <w:t>乙方应采取有效措施做好成品保护工作，如因乙方原因对现场成品造成损坏的，由乙方负责维修直至满足原设计、监理单位及甲方要求，如乙方无法维修的，由乙方与原施工单位自行协调维修，费用由乙方承担，若未在规定时间内未修复完成，则处以10000 元/处的违约金。若乙方拒绝维修或拒绝承担维修费用的，</w:t>
      </w:r>
      <w:r>
        <w:rPr>
          <w:rFonts w:hint="eastAsia" w:asciiTheme="minorEastAsia" w:hAnsiTheme="minorEastAsia" w:eastAsiaTheme="minorEastAsia" w:cstheme="minorEastAsia"/>
          <w:color w:val="000000" w:themeColor="text1"/>
          <w:sz w:val="24"/>
          <w:szCs w:val="24"/>
          <w14:textFill>
            <w14:solidFill>
              <w14:schemeClr w14:val="tx1"/>
            </w14:solidFill>
          </w14:textFill>
        </w:rPr>
        <w:t>甲方有权另行安排队伍维修，所发生费用（以甲方计量为准）从乙方当月工程款中直接扣除</w:t>
      </w:r>
      <w:r>
        <w:rPr>
          <w:rFonts w:hint="eastAsia" w:cs="等线"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工期不予顺延。</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w:t>
      </w:r>
      <w:r>
        <w:rPr>
          <w:rFonts w:cs="等线" w:asciiTheme="minorEastAsia" w:hAnsiTheme="minorEastAsia" w:eastAsiaTheme="minorEastAsia"/>
          <w:color w:val="000000" w:themeColor="text1"/>
          <w:sz w:val="24"/>
          <w:szCs w:val="24"/>
          <w14:textFill>
            <w14:solidFill>
              <w14:schemeClr w14:val="tx1"/>
            </w14:solidFill>
          </w14:textFill>
        </w:rPr>
        <w:t>9</w:t>
      </w:r>
      <w:r>
        <w:rPr>
          <w:rFonts w:hint="eastAsia" w:cs="等线" w:asciiTheme="minorEastAsia" w:hAnsiTheme="minorEastAsia" w:eastAsiaTheme="minorEastAsia"/>
          <w:color w:val="000000" w:themeColor="text1"/>
          <w:sz w:val="24"/>
          <w:szCs w:val="24"/>
          <w14:textFill>
            <w14:solidFill>
              <w14:schemeClr w14:val="tx1"/>
            </w14:solidFill>
          </w14:textFill>
        </w:rPr>
        <w:t>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w:t>
      </w:r>
      <w:r>
        <w:rPr>
          <w:rFonts w:cs="等线" w:asciiTheme="minorEastAsia" w:hAnsiTheme="minorEastAsia" w:eastAsiaTheme="minorEastAsia"/>
          <w:color w:val="000000" w:themeColor="text1"/>
          <w:sz w:val="24"/>
          <w:szCs w:val="24"/>
          <w14:textFill>
            <w14:solidFill>
              <w14:schemeClr w14:val="tx1"/>
            </w14:solidFill>
          </w14:textFill>
        </w:rPr>
        <w:t>10</w:t>
      </w:r>
      <w:r>
        <w:rPr>
          <w:rFonts w:hint="eastAsia" w:cs="等线" w:asciiTheme="minorEastAsia" w:hAnsiTheme="minorEastAsia" w:eastAsiaTheme="minorEastAsia"/>
          <w:color w:val="000000" w:themeColor="text1"/>
          <w:sz w:val="24"/>
          <w:szCs w:val="24"/>
          <w14:textFill>
            <w14:solidFill>
              <w14:schemeClr w14:val="tx1"/>
            </w14:solidFill>
          </w14:textFill>
        </w:rPr>
        <w:t>乙方为保证每项工程质量和按期完工所采用的技术、质量、安全等措施所发生的一切费用，由乙方自行承担，甲方不予增加任何费用。</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w:t>
      </w:r>
      <w:r>
        <w:rPr>
          <w:rFonts w:cs="等线" w:asciiTheme="minorEastAsia" w:hAnsiTheme="minorEastAsia" w:eastAsiaTheme="minorEastAsia"/>
          <w:color w:val="000000" w:themeColor="text1"/>
          <w:sz w:val="24"/>
          <w:szCs w:val="24"/>
          <w14:textFill>
            <w14:solidFill>
              <w14:schemeClr w14:val="tx1"/>
            </w14:solidFill>
          </w14:textFill>
        </w:rPr>
        <w:t>11</w:t>
      </w:r>
      <w:r>
        <w:rPr>
          <w:rFonts w:hint="eastAsia" w:cs="等线" w:asciiTheme="minorEastAsia" w:hAnsiTheme="minorEastAsia" w:eastAsiaTheme="minorEastAsia"/>
          <w:color w:val="000000" w:themeColor="text1"/>
          <w:sz w:val="24"/>
          <w:szCs w:val="24"/>
          <w14:textFill>
            <w14:solidFill>
              <w14:schemeClr w14:val="tx1"/>
            </w14:solidFill>
          </w14:textFill>
        </w:rPr>
        <w:t>乙方承包范围内的在建或已完工程，在正式交付甲方之前，均由乙方承担成品保护责任，如发生损坏由乙方自费予以及时修复，其修复费用由乙方自行向损害方进行追偿，甲方不承担任何责任。</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9.1</w:t>
      </w:r>
      <w:r>
        <w:rPr>
          <w:rFonts w:cs="等线" w:asciiTheme="minorEastAsia" w:hAnsiTheme="minorEastAsia" w:eastAsiaTheme="minorEastAsia"/>
          <w:color w:val="000000" w:themeColor="text1"/>
          <w:sz w:val="24"/>
          <w:szCs w:val="24"/>
          <w14:textFill>
            <w14:solidFill>
              <w14:schemeClr w14:val="tx1"/>
            </w14:solidFill>
          </w14:textFill>
        </w:rPr>
        <w:t>2</w:t>
      </w:r>
      <w:r>
        <w:rPr>
          <w:rFonts w:hint="eastAsia" w:cs="等线" w:asciiTheme="minorEastAsia" w:hAnsiTheme="minorEastAsia" w:eastAsiaTheme="minorEastAsia"/>
          <w:color w:val="000000" w:themeColor="text1"/>
          <w:sz w:val="24"/>
          <w:szCs w:val="24"/>
          <w14:textFill>
            <w14:solidFill>
              <w14:schemeClr w14:val="tx1"/>
            </w14:solidFill>
          </w14:textFill>
        </w:rPr>
        <w:t>做好文明施工，保证施工现场整齐清洁，随干随清，工完场清，交工前清理完与现场无关的任何多余物品和其他垃圾。否则，将承担违反此项规定而造成的违约责任。</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9.1</w:t>
      </w:r>
      <w:r>
        <w:rPr>
          <w:rFonts w:cs="等线" w:asciiTheme="minorEastAsia" w:hAnsiTheme="minorEastAsia" w:eastAsiaTheme="minorEastAsia"/>
          <w:color w:val="000000" w:themeColor="text1"/>
          <w:sz w:val="24"/>
          <w:szCs w:val="24"/>
          <w14:textFill>
            <w14:solidFill>
              <w14:schemeClr w14:val="tx1"/>
            </w14:solidFill>
          </w14:textFill>
        </w:rPr>
        <w:t>3</w:t>
      </w:r>
      <w:r>
        <w:rPr>
          <w:rFonts w:hint="eastAsia" w:cs="等线" w:asciiTheme="minorEastAsia" w:hAnsiTheme="minorEastAsia" w:eastAsiaTheme="minorEastAsia"/>
          <w:color w:val="000000" w:themeColor="text1"/>
          <w:sz w:val="24"/>
          <w:szCs w:val="24"/>
          <w14:textFill>
            <w14:solidFill>
              <w14:schemeClr w14:val="tx1"/>
            </w14:solidFill>
          </w14:textFill>
        </w:rPr>
        <w:t>乙方应负责其施工现场的施工安全、施工人员安全，自行投保其施工现场人员人身意外伤害保险及第三者责任险，并承担其保险费用。</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r>
        <w:rPr>
          <w:rFonts w:asciiTheme="minorEastAsia" w:hAnsiTheme="minorEastAsia" w:eastAsiaTheme="minorEastAsia" w:cstheme="minorEastAsia"/>
          <w:color w:val="000000" w:themeColor="text1"/>
          <w:sz w:val="24"/>
          <w:szCs w:val="24"/>
          <w14:textFill>
            <w14:solidFill>
              <w14:schemeClr w14:val="tx1"/>
            </w14:solidFill>
          </w14:textFill>
        </w:rPr>
        <w:t>.14</w:t>
      </w:r>
      <w:r>
        <w:rPr>
          <w:rFonts w:hint="eastAsia" w:asciiTheme="minorEastAsia" w:hAnsiTheme="minorEastAsia" w:eastAsiaTheme="minorEastAsia" w:cstheme="minorEastAsia"/>
          <w:color w:val="000000" w:themeColor="text1"/>
          <w:sz w:val="24"/>
          <w:szCs w:val="24"/>
          <w14:textFill>
            <w14:solidFill>
              <w14:schemeClr w14:val="tx1"/>
            </w14:solidFill>
          </w14:textFill>
        </w:rPr>
        <w:t>若项目实施过程中，乙方未按有关规定做好农民工工资发放，发生拖欠民工工资的事实或有民工为拖欠工资去有关部门投诉、上访的行为，除严格按照市、区关于建设领域农民工维权维稳管理办法规定处理外，还需向甲方支付相应的违约金，到甲方单位上访投诉的赔偿违约金 5万元/次，到区政府（含职能部门）上访投诉的赔偿违约金 10 万元/次，到市政府上访投诉的赔偿违约金20万元/次，到省政府上访投诉的赔偿违约金 50万元/次。</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9.1</w:t>
      </w:r>
      <w:r>
        <w:rPr>
          <w:rFonts w:cs="等线" w:asciiTheme="minorEastAsia" w:hAnsiTheme="minorEastAsia" w:eastAsiaTheme="minorEastAsia"/>
          <w:color w:val="000000" w:themeColor="text1"/>
          <w:sz w:val="24"/>
          <w:szCs w:val="24"/>
          <w14:textFill>
            <w14:solidFill>
              <w14:schemeClr w14:val="tx1"/>
            </w14:solidFill>
          </w14:textFill>
        </w:rPr>
        <w:t>5</w:t>
      </w:r>
      <w:r>
        <w:rPr>
          <w:rFonts w:hint="eastAsia" w:cs="等线" w:asciiTheme="minorEastAsia" w:hAnsiTheme="minorEastAsia" w:eastAsiaTheme="minorEastAsia"/>
          <w:color w:val="000000" w:themeColor="text1"/>
          <w:sz w:val="24"/>
          <w:szCs w:val="24"/>
          <w14:textFill>
            <w14:solidFill>
              <w14:schemeClr w14:val="tx1"/>
            </w14:solidFill>
          </w14:textFill>
        </w:rPr>
        <w:t>不论本合同因任何原因提前解除，合同解除后1</w:t>
      </w:r>
      <w:r>
        <w:rPr>
          <w:rFonts w:cs="等线" w:asciiTheme="minorEastAsia" w:hAnsiTheme="minorEastAsia" w:eastAsiaTheme="minorEastAsia"/>
          <w:color w:val="000000" w:themeColor="text1"/>
          <w:sz w:val="24"/>
          <w:szCs w:val="24"/>
          <w14:textFill>
            <w14:solidFill>
              <w14:schemeClr w14:val="tx1"/>
            </w14:solidFill>
          </w14:textFill>
        </w:rPr>
        <w:t>0</w:t>
      </w:r>
      <w:r>
        <w:rPr>
          <w:rFonts w:hint="eastAsia" w:cs="等线" w:asciiTheme="minorEastAsia" w:hAnsiTheme="minorEastAsia" w:eastAsiaTheme="minorEastAsia"/>
          <w:color w:val="000000" w:themeColor="text1"/>
          <w:sz w:val="24"/>
          <w:szCs w:val="24"/>
          <w14:textFill>
            <w14:solidFill>
              <w14:schemeClr w14:val="tx1"/>
            </w14:solidFill>
          </w14:textFill>
        </w:rPr>
        <w:t>日内乙方退场，乙方同意合同解除后</w:t>
      </w:r>
      <w:r>
        <w:rPr>
          <w:rFonts w:cs="等线" w:asciiTheme="minorEastAsia" w:hAnsiTheme="minorEastAsia" w:eastAsiaTheme="minorEastAsia"/>
          <w:color w:val="000000" w:themeColor="text1"/>
          <w:sz w:val="24"/>
          <w:szCs w:val="24"/>
          <w14:textFill>
            <w14:solidFill>
              <w14:schemeClr w14:val="tx1"/>
            </w14:solidFill>
          </w14:textFill>
        </w:rPr>
        <w:t>15</w:t>
      </w:r>
      <w:r>
        <w:rPr>
          <w:rFonts w:hint="eastAsia" w:cs="等线" w:asciiTheme="minorEastAsia" w:hAnsiTheme="minorEastAsia" w:eastAsiaTheme="minorEastAsia"/>
          <w:color w:val="000000" w:themeColor="text1"/>
          <w:sz w:val="24"/>
          <w:szCs w:val="24"/>
          <w14:textFill>
            <w14:solidFill>
              <w14:schemeClr w14:val="tx1"/>
            </w14:solidFill>
          </w14:textFill>
        </w:rPr>
        <w:t>天内确认现场已完工程量，乙方于合同解除后3</w:t>
      </w:r>
      <w:r>
        <w:rPr>
          <w:rFonts w:cs="等线" w:asciiTheme="minorEastAsia" w:hAnsiTheme="minorEastAsia" w:eastAsiaTheme="minorEastAsia"/>
          <w:color w:val="000000" w:themeColor="text1"/>
          <w:sz w:val="24"/>
          <w:szCs w:val="24"/>
          <w14:textFill>
            <w14:solidFill>
              <w14:schemeClr w14:val="tx1"/>
            </w14:solidFill>
          </w14:textFill>
        </w:rPr>
        <w:t>0</w:t>
      </w:r>
      <w:r>
        <w:rPr>
          <w:rFonts w:hint="eastAsia" w:cs="等线" w:asciiTheme="minorEastAsia" w:hAnsiTheme="minorEastAsia" w:eastAsiaTheme="minorEastAsia"/>
          <w:color w:val="000000" w:themeColor="text1"/>
          <w:sz w:val="24"/>
          <w:szCs w:val="24"/>
          <w14:textFill>
            <w14:solidFill>
              <w14:schemeClr w14:val="tx1"/>
            </w14:solidFill>
          </w14:textFill>
        </w:rPr>
        <w:t>日内提供齐全的结算资料并移交档案资料后退场，双方于退场完毕后进行结算。</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第十条 工程保修</w:t>
      </w:r>
    </w:p>
    <w:p>
      <w:pPr>
        <w:spacing w:line="520" w:lineRule="exact"/>
        <w:ind w:firstLine="460" w:firstLineChars="192"/>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10.1乙方对其全部施工内容承担保修责任。保修期为</w:t>
      </w:r>
      <w:r>
        <w:rPr>
          <w:rFonts w:cs="等线" w:asciiTheme="minorEastAsia" w:hAnsiTheme="minorEastAsia" w:eastAsiaTheme="minorEastAsia"/>
          <w:b/>
          <w:bCs/>
          <w:color w:val="000000" w:themeColor="text1"/>
          <w:sz w:val="24"/>
          <w:szCs w:val="24"/>
          <w:u w:val="single"/>
          <w14:textFill>
            <w14:solidFill>
              <w14:schemeClr w14:val="tx1"/>
            </w14:solidFill>
          </w14:textFill>
        </w:rPr>
        <w:t>2</w:t>
      </w:r>
      <w:r>
        <w:rPr>
          <w:rFonts w:hint="eastAsia" w:cs="等线" w:asciiTheme="minorEastAsia" w:hAnsiTheme="minorEastAsia" w:eastAsiaTheme="minorEastAsia"/>
          <w:color w:val="000000" w:themeColor="text1"/>
          <w:sz w:val="24"/>
          <w:szCs w:val="24"/>
          <w14:textFill>
            <w14:solidFill>
              <w14:schemeClr w14:val="tx1"/>
            </w14:solidFill>
          </w14:textFill>
        </w:rPr>
        <w:t>年（</w:t>
      </w:r>
      <w:r>
        <w:rPr>
          <w:rFonts w:hint="eastAsia" w:cs="等线" w:asciiTheme="minorEastAsia" w:hAnsiTheme="minorEastAsia" w:eastAsiaTheme="minorEastAsia"/>
          <w:b/>
          <w:bCs/>
          <w:color w:val="000000" w:themeColor="text1"/>
          <w:sz w:val="24"/>
          <w:szCs w:val="24"/>
          <w14:textFill>
            <w14:solidFill>
              <w14:schemeClr w14:val="tx1"/>
            </w14:solidFill>
          </w14:textFill>
        </w:rPr>
        <w:t>防水工程5年</w:t>
      </w:r>
      <w:r>
        <w:rPr>
          <w:rFonts w:hint="eastAsia" w:cs="等线" w:asciiTheme="minorEastAsia" w:hAnsiTheme="minorEastAsia" w:eastAsiaTheme="minorEastAsia"/>
          <w:color w:val="000000" w:themeColor="text1"/>
          <w:sz w:val="24"/>
          <w:szCs w:val="24"/>
          <w14:textFill>
            <w14:solidFill>
              <w14:schemeClr w14:val="tx1"/>
            </w14:solidFill>
          </w14:textFill>
        </w:rPr>
        <w:t>），自每项工程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质量保修期内，乙方免费提供质量保修服务，不收取任何费用。</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10.2</w:t>
      </w:r>
      <w:r>
        <w:rPr>
          <w:rFonts w:hint="eastAsia" w:asciiTheme="minorEastAsia" w:hAnsiTheme="minorEastAsia" w:eastAsiaTheme="minorEastAsia" w:cstheme="minorEastAsia"/>
          <w:color w:val="000000" w:themeColor="text1"/>
          <w:sz w:val="24"/>
          <w:szCs w:val="24"/>
          <w14:textFill>
            <w14:solidFill>
              <w14:schemeClr w14:val="tx1"/>
            </w14:solidFill>
          </w14:textFill>
        </w:rPr>
        <w:t>保修范围：除甲方使用过程中人为损坏、自然灾害或不可抗力因素损坏外，其他任何损坏均属乙方免费保修责任范围。</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.3保修费用：保修期内乙方免费保修，甲方及任何其他方无需另行支付任何费用（包括但不限于维修、更换部件的费用等）。</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w:t>
      </w:r>
      <w:r>
        <w:rPr>
          <w:rFonts w:cs="等线" w:asciiTheme="minorEastAsia" w:hAnsiTheme="minorEastAsia" w:eastAsiaTheme="minorEastAsia"/>
          <w:color w:val="000000" w:themeColor="text1"/>
          <w:sz w:val="24"/>
          <w:szCs w:val="24"/>
          <w14:textFill>
            <w14:solidFill>
              <w14:schemeClr w14:val="tx1"/>
            </w14:solidFill>
          </w14:textFill>
        </w:rPr>
        <w:t>0.4</w:t>
      </w:r>
      <w:r>
        <w:rPr>
          <w:rFonts w:hint="eastAsia" w:cs="等线" w:asciiTheme="minorEastAsia" w:hAnsiTheme="minorEastAsia" w:eastAsiaTheme="minorEastAsia"/>
          <w:color w:val="000000" w:themeColor="text1"/>
          <w:sz w:val="24"/>
          <w:szCs w:val="24"/>
          <w14:textFill>
            <w14:solidFill>
              <w14:schemeClr w14:val="tx1"/>
            </w14:solidFill>
          </w14:textFill>
        </w:rPr>
        <w:t>在保修期内凡属施工质量问题由乙方自费修理，并应在接到甲方维修通知24小时内及时到场修理并在48小时内修复，否则，甲方有权另行委托其他单位进行修理，因此发生的费用将从质量保修金中扣除，其不足金额甲方有权向乙方追偿。</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.5保修期内乙方向甲方提供免费的技术咨询服务，负责解答甲方就本工程及其它相关事宜提出的各项问题。</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.6保修期外，乙方仍应按照上述响应的时间负责保修责任，维修、更换部件或零配件等服务价格均按成本价计算。</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10.</w:t>
      </w:r>
      <w:r>
        <w:rPr>
          <w:rFonts w:cs="等线" w:asciiTheme="minorEastAsia" w:hAnsiTheme="minorEastAsia" w:eastAsiaTheme="minorEastAsia"/>
          <w:color w:val="000000" w:themeColor="text1"/>
          <w:sz w:val="24"/>
          <w:szCs w:val="24"/>
          <w14:textFill>
            <w14:solidFill>
              <w14:schemeClr w14:val="tx1"/>
            </w14:solidFill>
          </w14:textFill>
        </w:rPr>
        <w:t>7乙方应在签订本合同的同时预留保修负责人的书面通信地址和电话，以便通知乙方进行维修。</w:t>
      </w:r>
    </w:p>
    <w:p>
      <w:pPr>
        <w:spacing w:line="520" w:lineRule="exact"/>
        <w:ind w:firstLine="460" w:firstLineChars="192"/>
        <w:rPr>
          <w:rFonts w:cs="等线" w:asciiTheme="minorEastAsia" w:hAnsiTheme="minorEastAsia" w:eastAsiaTheme="minorEastAsia"/>
          <w:color w:val="000000" w:themeColor="text1"/>
          <w:sz w:val="24"/>
          <w:szCs w:val="24"/>
          <w:u w:val="single"/>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 xml:space="preserve">乙方保修负责人姓名： </w:t>
      </w:r>
      <w:r>
        <w:rPr>
          <w:rFonts w:hint="eastAsia" w:cs="等线"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等线" w:asciiTheme="minorEastAsia" w:hAnsiTheme="minorEastAsia" w:eastAsiaTheme="minorEastAsia"/>
          <w:color w:val="000000" w:themeColor="text1"/>
          <w:sz w:val="24"/>
          <w:szCs w:val="24"/>
          <w14:textFill>
            <w14:solidFill>
              <w14:schemeClr w14:val="tx1"/>
            </w14:solidFill>
          </w14:textFill>
        </w:rPr>
        <w:t>联系电话：</w:t>
      </w:r>
      <w:r>
        <w:rPr>
          <w:rFonts w:hint="eastAsia" w:cs="等线"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乙方变更联系方式的，应在变更前的24小时内将新的有效联系方式告知甲方, 否则, 按原联系方式发送通知即视为收到并确认，因无法进行保修通知导致的损失由乙方承担.</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第十一条 违约责任</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11.1在乙方完全履行合同全部义务的前提下，如甲方未按合同约定付款，每逾期一天，甲方应按全国银行间同业拆借中心公布的贷款市场报价利率支付应付未付款的违约金，除此之外，</w:t>
      </w:r>
      <w:r>
        <w:rPr>
          <w:rFonts w:hint="eastAsia" w:asciiTheme="minorEastAsia" w:hAnsiTheme="minorEastAsia" w:eastAsiaTheme="minorEastAsia" w:cstheme="minorEastAsia"/>
          <w:color w:val="000000" w:themeColor="text1"/>
          <w:sz w:val="24"/>
          <w:szCs w:val="24"/>
          <w14:textFill>
            <w14:solidFill>
              <w14:schemeClr w14:val="tx1"/>
            </w14:solidFill>
          </w14:textFill>
        </w:rPr>
        <w:t>除此之外，</w:t>
      </w:r>
      <w:r>
        <w:rPr>
          <w:rFonts w:hint="eastAsia" w:cs="宋体" w:asciiTheme="minorEastAsia" w:hAnsiTheme="minorEastAsia" w:eastAsiaTheme="minorEastAsia"/>
          <w:b/>
          <w:bCs/>
          <w:color w:val="000000" w:themeColor="text1"/>
          <w:sz w:val="24"/>
          <w:szCs w:val="24"/>
          <w14:textFill>
            <w14:solidFill>
              <w14:schemeClr w14:val="tx1"/>
            </w14:solidFill>
          </w14:textFill>
        </w:rPr>
        <w:t>甲方不承担任何责任（包括但不限于：利润、原材料或人工成本上涨而额外产生的费用），乙方亦无权因此拖延工期或暂停施工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11.2本工程逾期开工、竣工或乙方逾期履行任何一项有期限要求的义务的，每逾期一天，乙方应向甲方支付当次工程总价款万分之五的违约金，逾期超过2</w:t>
      </w:r>
      <w:r>
        <w:rPr>
          <w:rFonts w:cs="等线" w:asciiTheme="minorEastAsia" w:hAnsiTheme="minorEastAsia" w:eastAsiaTheme="minorEastAsia"/>
          <w:color w:val="000000" w:themeColor="text1"/>
          <w:sz w:val="24"/>
          <w:szCs w:val="24"/>
          <w14:textFill>
            <w14:solidFill>
              <w14:schemeClr w14:val="tx1"/>
            </w14:solidFill>
          </w14:textFill>
        </w:rPr>
        <w:t>0</w:t>
      </w:r>
      <w:r>
        <w:rPr>
          <w:rFonts w:hint="eastAsia" w:cs="等线" w:asciiTheme="minorEastAsia" w:hAnsiTheme="minorEastAsia" w:eastAsiaTheme="minorEastAsia"/>
          <w:color w:val="000000" w:themeColor="text1"/>
          <w:sz w:val="24"/>
          <w:szCs w:val="24"/>
          <w14:textFill>
            <w14:solidFill>
              <w14:schemeClr w14:val="tx1"/>
            </w14:solidFill>
          </w14:textFill>
        </w:rPr>
        <w:t>日的，甲方有权解除本合同。</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.3乙方擅自终止本合同的，或乙方未经甲方书面认可，擅自将工程转包或分包给第三方的，甲方有权立即解除本合同。</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.4因乙方原因导致本合同提前解除或终止的（</w:t>
      </w:r>
      <w:r>
        <w:rPr>
          <w:rFonts w:asciiTheme="minorEastAsia" w:hAnsiTheme="minorEastAsia" w:eastAsiaTheme="minorEastAsia" w:cstheme="minorEastAsia"/>
          <w:color w:val="000000" w:themeColor="text1"/>
          <w:sz w:val="24"/>
          <w:szCs w:val="24"/>
          <w14:textFill>
            <w14:solidFill>
              <w14:schemeClr w14:val="tx1"/>
            </w14:solidFill>
          </w14:textFill>
        </w:rPr>
        <w:t>a.</w:t>
      </w:r>
      <w:r>
        <w:rPr>
          <w:rFonts w:hint="eastAsia" w:asciiTheme="minorEastAsia" w:hAnsiTheme="minorEastAsia" w:eastAsiaTheme="minorEastAsia" w:cstheme="minorEastAsia"/>
          <w:color w:val="000000" w:themeColor="text1"/>
          <w:sz w:val="24"/>
          <w:szCs w:val="24"/>
          <w14:textFill>
            <w14:solidFill>
              <w14:schemeClr w14:val="tx1"/>
            </w14:solidFill>
          </w14:textFill>
        </w:rPr>
        <w:t>中标单位拒绝工程达两次；b</w:t>
      </w:r>
      <w:r>
        <w:rPr>
          <w:rFonts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出现质量安全问题并无法及时整改；c</w:t>
      </w:r>
      <w:r>
        <w:rPr>
          <w:rFonts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累计三次不及时进场施工；d</w:t>
      </w:r>
      <w:r>
        <w:rPr>
          <w:rFonts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擅自更换项目主要负责人；e</w:t>
      </w:r>
      <w:r>
        <w:rPr>
          <w:rFonts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其它甲方行使合同解除权的情况），乙方应退还甲方已付的工程价款，赔偿甲方因此造成的全部经济损失，并应向甲方支付工程总价</w:t>
      </w:r>
      <w:r>
        <w:rPr>
          <w:rFonts w:asciiTheme="minorEastAsia" w:hAnsiTheme="minorEastAsia" w:eastAsiaTheme="minorEastAsia" w:cstheme="minorEastAsia"/>
          <w:b/>
          <w:bCs/>
          <w:color w:val="000000" w:themeColor="text1"/>
          <w:sz w:val="24"/>
          <w:szCs w:val="24"/>
          <w:u w:val="single"/>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5因乙方违约而依据本合同应向甲方支付违约金或赔偿金的，甲方有权从应付乙方的工程价款中直接予以相应扣除，乙方不持异议。工程价款不足抵扣的，甲方有权就不足部分继续向乙方追偿。但甲方未抵扣的并不视为对权利的放弃。</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.6乙方项目经理、技术负责人、安全负责人等主要管理人员须准时参加建设单位或监理单位组织的工程会议，不得缺席，项目经理缺席按照 2000 元/次进行处罚，其他管理人员缺席按照 1000 元/次进行处罚，特殊情况请假须征得会议主持人的同意。</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11.7如因乙方工程的质量、安全存在问题而受到工程建管部门通报批评的，乙方按2万元/次支付违约金。对于乙方所出现的质量缺陷和安全隐患，乙方应在接到通知后立即整改，3日内整改完毕，否则按违约处理，违约金1000-5000元/天；整改不到位，或整改后仍出现类似问题处以双倍违约金罚款。</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.8乙方不履行本合同约定的其他任何一项义务，或拒绝按照甲方要求施工的，在甲方要求的期限内如仍未履行，甲方有权解除本合同。</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11.9因乙方原因导致本合同解除的，乙方应向甲方支付</w:t>
      </w:r>
      <w:r>
        <w:rPr>
          <w:rFonts w:cs="等线" w:asciiTheme="minorEastAsia" w:hAnsiTheme="minorEastAsia" w:eastAsiaTheme="minorEastAsia"/>
          <w:color w:val="000000" w:themeColor="text1"/>
          <w:sz w:val="24"/>
          <w:szCs w:val="24"/>
          <w14:textFill>
            <w14:solidFill>
              <w14:schemeClr w14:val="tx1"/>
            </w14:solidFill>
          </w14:textFill>
        </w:rPr>
        <w:t>4</w:t>
      </w:r>
      <w:r>
        <w:rPr>
          <w:rFonts w:hint="eastAsia" w:cs="等线" w:asciiTheme="minorEastAsia" w:hAnsiTheme="minorEastAsia" w:eastAsiaTheme="minorEastAsia"/>
          <w:color w:val="000000" w:themeColor="text1"/>
          <w:sz w:val="24"/>
          <w:szCs w:val="24"/>
          <w14:textFill>
            <w14:solidFill>
              <w14:schemeClr w14:val="tx1"/>
            </w14:solidFill>
          </w14:textFill>
        </w:rPr>
        <w:t>万元违约金，如乙方支付的违约金不足以弥补甲方受到的损失的，乙方还应赔偿甲方的全部损失。</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10对乙方故意或疏忽导致的材料和施工工艺不符合技术规范引起的工程质量问题，无论工程是否已验收合格、交付使用以及是否超过质保期，甲方及业主有权依照相关法律规定向乙方追索。</w:t>
      </w:r>
    </w:p>
    <w:p>
      <w:pPr>
        <w:adjustRightInd w:val="0"/>
        <w:snapToGrid w:val="0"/>
        <w:spacing w:line="52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11本合同终止后（包括本工程甲方验收合格且移交甲方使用和任何本合同项下的提前终止情况）乙方应在甲方指定的时间内自担费用按照甲方的要求对施工场所进行清理、撤离人员及机械设备，乙方不得以任何形式占用场地，否则甲方有权代为履行上述清理行为，所需费用均由乙方承担。如乙方未能在甲方指定期间内清理施工现场达到甲方的要求，则每逾期一日，乙方应按照工程总价</w:t>
      </w:r>
      <w:r>
        <w:rPr>
          <w:rFonts w:asciiTheme="minorEastAsia" w:hAnsiTheme="minorEastAsia" w:eastAsiaTheme="minorEastAsia" w:cstheme="minorEastAsia"/>
          <w:b/>
          <w:bCs/>
          <w:color w:val="000000" w:themeColor="text1"/>
          <w:sz w:val="24"/>
          <w:szCs w:val="24"/>
          <w:u w:val="single"/>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的标准向甲方支付违约金。</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11.12因乙方违约造成甲方损失的，乙方还应赔偿甲方为维护自身合法权益而支出的包括但不限于诉讼费、律师费、保全费、担保费、差旅费、文印费、诉讼保全保险费等一切支出。</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第十二条 争议解决</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当本合同发生争议时，双方应首先进行友好协商解决，如协商不成时，合同的任何一方均可向工程所在地人民法院起诉。</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第十三条 </w:t>
      </w:r>
      <w:r>
        <w:rPr>
          <w:rFonts w:asciiTheme="minorEastAsia" w:hAnsiTheme="minorEastAsia" w:eastAsiaTheme="minorEastAsia" w:cstheme="minorEastAsia"/>
          <w:b/>
          <w:bCs/>
          <w:color w:val="000000" w:themeColor="text1"/>
          <w:sz w:val="24"/>
          <w:szCs w:val="24"/>
          <w14:textFill>
            <w14:solidFill>
              <w14:schemeClr w14:val="tx1"/>
            </w14:solidFill>
          </w14:textFill>
        </w:rPr>
        <w:t>不可抗力</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13.1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13.2 受不可抗力事件影响的一方当事人对于不可抗力事件导致的任何合同义务的迟延履行或不能履行不承担违约责任。但该方当事人应尽快将不可抗力事件结束或消除的情况通知另一方当事人。</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13.3 双方当事人应在不可抗力事件结束或其影响消除后立即继续履行其合同义务，合同期限也应相应顺延。除专用合同条款另有约定外，如果不可抗力事件的影响持续超过</w:t>
      </w:r>
      <w:r>
        <w:rPr>
          <w:rFonts w:cs="宋体" w:asciiTheme="minorEastAsia" w:hAnsiTheme="minorEastAsia" w:eastAsiaTheme="minorEastAsia"/>
          <w:b/>
          <w:bCs/>
          <w:color w:val="000000" w:themeColor="text1"/>
          <w:sz w:val="24"/>
          <w:szCs w:val="24"/>
          <w:u w:val="single"/>
          <w14:textFill>
            <w14:solidFill>
              <w14:schemeClr w14:val="tx1"/>
            </w14:solidFill>
          </w14:textFill>
        </w:rPr>
        <w:t>120</w:t>
      </w:r>
      <w:r>
        <w:rPr>
          <w:rFonts w:cs="宋体" w:asciiTheme="minorEastAsia" w:hAnsiTheme="minorEastAsia" w:eastAsiaTheme="minorEastAsia"/>
          <w:color w:val="000000" w:themeColor="text1"/>
          <w:sz w:val="24"/>
          <w:szCs w:val="24"/>
          <w14:textFill>
            <w14:solidFill>
              <w14:schemeClr w14:val="tx1"/>
            </w14:solidFill>
          </w14:textFill>
        </w:rPr>
        <w:t>日，则任何一方当事人均有权以书面通知解除合同。</w:t>
      </w:r>
    </w:p>
    <w:p>
      <w:pPr>
        <w:spacing w:line="520" w:lineRule="exact"/>
        <w:ind w:firstLine="463" w:firstLineChars="192"/>
        <w:rPr>
          <w:rFonts w:cs="等线" w:asciiTheme="minorEastAsia" w:hAnsiTheme="minorEastAsia" w:eastAsiaTheme="minorEastAsia"/>
          <w:b/>
          <w:bCs/>
          <w:color w:val="000000" w:themeColor="text1"/>
          <w:sz w:val="24"/>
          <w:szCs w:val="24"/>
          <w14:textFill>
            <w14:solidFill>
              <w14:schemeClr w14:val="tx1"/>
            </w14:solidFill>
          </w14:textFill>
        </w:rPr>
      </w:pPr>
      <w:r>
        <w:rPr>
          <w:rFonts w:hint="eastAsia" w:cs="等线" w:asciiTheme="minorEastAsia" w:hAnsiTheme="minorEastAsia" w:eastAsiaTheme="minorEastAsia"/>
          <w:b/>
          <w:bCs/>
          <w:color w:val="000000" w:themeColor="text1"/>
          <w:sz w:val="24"/>
          <w:szCs w:val="24"/>
          <w14:textFill>
            <w14:solidFill>
              <w14:schemeClr w14:val="tx1"/>
            </w14:solidFill>
          </w14:textFill>
        </w:rPr>
        <w:t>第十四条 其他</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w:t>
      </w:r>
      <w:r>
        <w:rPr>
          <w:rFonts w:cs="等线" w:asciiTheme="minorEastAsia" w:hAnsiTheme="minorEastAsia" w:eastAsiaTheme="minorEastAsia"/>
          <w:color w:val="000000" w:themeColor="text1"/>
          <w:sz w:val="24"/>
          <w:szCs w:val="24"/>
          <w14:textFill>
            <w14:solidFill>
              <w14:schemeClr w14:val="tx1"/>
            </w14:solidFill>
          </w14:textFill>
        </w:rPr>
        <w:t>4</w:t>
      </w:r>
      <w:r>
        <w:rPr>
          <w:rFonts w:hint="eastAsia" w:cs="等线" w:asciiTheme="minorEastAsia" w:hAnsiTheme="minorEastAsia" w:eastAsiaTheme="minorEastAsia"/>
          <w:color w:val="000000" w:themeColor="text1"/>
          <w:sz w:val="24"/>
          <w:szCs w:val="24"/>
          <w14:textFill>
            <w14:solidFill>
              <w14:schemeClr w14:val="tx1"/>
            </w14:solidFill>
          </w14:textFill>
        </w:rPr>
        <w:t>.1本合同经甲、乙双方法定代表人或授权代表签字（加注合同签订日期）、签字盖章后生效。</w:t>
      </w:r>
    </w:p>
    <w:p>
      <w:pPr>
        <w:spacing w:line="520" w:lineRule="exact"/>
        <w:ind w:firstLine="460" w:firstLineChars="192"/>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w:t>
      </w:r>
      <w:r>
        <w:rPr>
          <w:rFonts w:cs="等线" w:asciiTheme="minorEastAsia" w:hAnsiTheme="minorEastAsia" w:eastAsiaTheme="minorEastAsia"/>
          <w:color w:val="000000" w:themeColor="text1"/>
          <w:sz w:val="24"/>
          <w:szCs w:val="24"/>
          <w14:textFill>
            <w14:solidFill>
              <w14:schemeClr w14:val="tx1"/>
            </w14:solidFill>
          </w14:textFill>
        </w:rPr>
        <w:t>4</w:t>
      </w:r>
      <w:r>
        <w:rPr>
          <w:rFonts w:hint="eastAsia" w:cs="等线" w:asciiTheme="minorEastAsia" w:hAnsiTheme="minorEastAsia" w:eastAsiaTheme="minorEastAsia"/>
          <w:color w:val="000000" w:themeColor="text1"/>
          <w:sz w:val="24"/>
          <w:szCs w:val="24"/>
          <w14:textFill>
            <w14:solidFill>
              <w14:schemeClr w14:val="tx1"/>
            </w14:solidFill>
          </w14:textFill>
        </w:rPr>
        <w:t>.2本合同正本</w:t>
      </w:r>
      <w:r>
        <w:rPr>
          <w:rFonts w:hint="eastAsia" w:cs="宋体" w:asciiTheme="minorEastAsia" w:hAnsiTheme="minorEastAsia" w:eastAsiaTheme="minorEastAsia"/>
          <w:color w:val="000000" w:themeColor="text1"/>
          <w:sz w:val="24"/>
          <w:szCs w:val="24"/>
          <w14:textFill>
            <w14:solidFill>
              <w14:schemeClr w14:val="tx1"/>
            </w14:solidFill>
          </w14:textFill>
        </w:rPr>
        <w:t>一式</w:t>
      </w:r>
      <w:r>
        <w:rPr>
          <w:rFonts w:hint="eastAsia" w:cs="宋体" w:asciiTheme="minorEastAsia" w:hAnsiTheme="minorEastAsia" w:eastAsiaTheme="minorEastAsia"/>
          <w:b/>
          <w:bCs/>
          <w:color w:val="000000" w:themeColor="text1"/>
          <w:sz w:val="24"/>
          <w:szCs w:val="24"/>
          <w:u w:val="single"/>
          <w14:textFill>
            <w14:solidFill>
              <w14:schemeClr w14:val="tx1"/>
            </w14:solidFill>
          </w14:textFill>
        </w:rPr>
        <w:t>拾</w:t>
      </w:r>
      <w:r>
        <w:rPr>
          <w:rFonts w:hint="eastAsia" w:cs="宋体" w:asciiTheme="minorEastAsia" w:hAnsiTheme="minorEastAsia" w:eastAsiaTheme="minorEastAsia"/>
          <w:color w:val="000000" w:themeColor="text1"/>
          <w:sz w:val="24"/>
          <w:szCs w:val="24"/>
          <w14:textFill>
            <w14:solidFill>
              <w14:schemeClr w14:val="tx1"/>
            </w14:solidFill>
          </w14:textFill>
        </w:rPr>
        <w:t>份，甲方执</w:t>
      </w:r>
      <w:r>
        <w:rPr>
          <w:rFonts w:hint="eastAsia" w:cs="宋体" w:asciiTheme="minorEastAsia" w:hAnsiTheme="minorEastAsia" w:eastAsiaTheme="minorEastAsia"/>
          <w:b/>
          <w:bCs/>
          <w:color w:val="000000" w:themeColor="text1"/>
          <w:sz w:val="24"/>
          <w:szCs w:val="24"/>
          <w:u w:val="single"/>
          <w14:textFill>
            <w14:solidFill>
              <w14:schemeClr w14:val="tx1"/>
            </w14:solidFill>
          </w14:textFill>
        </w:rPr>
        <w:t>陆</w:t>
      </w:r>
      <w:r>
        <w:rPr>
          <w:rFonts w:hint="eastAsia" w:cs="宋体" w:asciiTheme="minorEastAsia" w:hAnsiTheme="minorEastAsia" w:eastAsiaTheme="minorEastAsia"/>
          <w:color w:val="000000" w:themeColor="text1"/>
          <w:sz w:val="24"/>
          <w:szCs w:val="24"/>
          <w14:textFill>
            <w14:solidFill>
              <w14:schemeClr w14:val="tx1"/>
            </w14:solidFill>
          </w14:textFill>
        </w:rPr>
        <w:t>份,乙方执</w:t>
      </w:r>
      <w:r>
        <w:rPr>
          <w:rFonts w:hint="eastAsia" w:cs="宋体" w:asciiTheme="minorEastAsia" w:hAnsiTheme="minorEastAsia" w:eastAsiaTheme="minorEastAsia"/>
          <w:b/>
          <w:bCs/>
          <w:color w:val="000000" w:themeColor="text1"/>
          <w:sz w:val="24"/>
          <w:szCs w:val="24"/>
          <w:u w:val="single"/>
          <w14:textFill>
            <w14:solidFill>
              <w14:schemeClr w14:val="tx1"/>
            </w14:solidFill>
          </w14:textFill>
        </w:rPr>
        <w:t>肆</w:t>
      </w:r>
      <w:r>
        <w:rPr>
          <w:rFonts w:hint="eastAsia" w:cs="宋体" w:asciiTheme="minorEastAsia" w:hAnsiTheme="minorEastAsia" w:eastAsiaTheme="minorEastAsia"/>
          <w:color w:val="000000" w:themeColor="text1"/>
          <w:sz w:val="24"/>
          <w:szCs w:val="24"/>
          <w14:textFill>
            <w14:solidFill>
              <w14:schemeClr w14:val="tx1"/>
            </w14:solidFill>
          </w14:textFill>
        </w:rPr>
        <w:t>份</w:t>
      </w:r>
      <w:r>
        <w:rPr>
          <w:rFonts w:hint="eastAsia" w:cs="等线" w:asciiTheme="minorEastAsia" w:hAnsiTheme="minorEastAsia" w:eastAsiaTheme="minorEastAsia"/>
          <w:color w:val="000000" w:themeColor="text1"/>
          <w:sz w:val="24"/>
          <w:szCs w:val="24"/>
          <w14:textFill>
            <w14:solidFill>
              <w14:schemeClr w14:val="tx1"/>
            </w14:solidFill>
          </w14:textFill>
        </w:rPr>
        <w:t>，均具有同等法律效力。</w:t>
      </w:r>
    </w:p>
    <w:p>
      <w:pPr>
        <w:adjustRightInd w:val="0"/>
        <w:snapToGrid w:val="0"/>
        <w:spacing w:line="520" w:lineRule="exact"/>
        <w:ind w:firstLine="480" w:firstLineChars="200"/>
        <w:rPr>
          <w:rFonts w:cs="等线" w:asciiTheme="minorEastAsia" w:hAnsiTheme="minorEastAsia" w:eastAsiaTheme="minorEastAsia"/>
          <w:color w:val="000000" w:themeColor="text1"/>
          <w:sz w:val="24"/>
          <w:szCs w:val="24"/>
          <w14:textFill>
            <w14:solidFill>
              <w14:schemeClr w14:val="tx1"/>
            </w14:solidFill>
          </w14:textFill>
        </w:rPr>
      </w:pPr>
      <w:r>
        <w:rPr>
          <w:rFonts w:hint="eastAsia" w:cs="等线" w:asciiTheme="minorEastAsia" w:hAnsiTheme="minorEastAsia" w:eastAsiaTheme="minorEastAsia"/>
          <w:color w:val="000000" w:themeColor="text1"/>
          <w:sz w:val="24"/>
          <w:szCs w:val="24"/>
          <w14:textFill>
            <w14:solidFill>
              <w14:schemeClr w14:val="tx1"/>
            </w14:solidFill>
          </w14:textFill>
        </w:rPr>
        <w:t>1</w:t>
      </w:r>
      <w:r>
        <w:rPr>
          <w:rFonts w:cs="等线" w:asciiTheme="minorEastAsia" w:hAnsiTheme="minorEastAsia" w:eastAsiaTheme="minorEastAsia"/>
          <w:color w:val="000000" w:themeColor="text1"/>
          <w:sz w:val="24"/>
          <w:szCs w:val="24"/>
          <w14:textFill>
            <w14:solidFill>
              <w14:schemeClr w14:val="tx1"/>
            </w14:solidFill>
          </w14:textFill>
        </w:rPr>
        <w:t>4</w:t>
      </w:r>
      <w:r>
        <w:rPr>
          <w:rFonts w:hint="eastAsia" w:cs="等线" w:asciiTheme="minorEastAsia" w:hAnsiTheme="minorEastAsia" w:eastAsiaTheme="minorEastAsia"/>
          <w:color w:val="000000" w:themeColor="text1"/>
          <w:sz w:val="24"/>
          <w:szCs w:val="24"/>
          <w14:textFill>
            <w14:solidFill>
              <w14:schemeClr w14:val="tx1"/>
            </w14:solidFill>
          </w14:textFill>
        </w:rPr>
        <w:t>.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pStyle w:val="2"/>
        <w:ind w:firstLine="480"/>
        <w:rPr>
          <w:rFonts w:cs="等线" w:asciiTheme="minorEastAsia" w:hAnsiTheme="minorEastAsia" w:eastAsiaTheme="minorEastAsia"/>
          <w:color w:val="000000" w:themeColor="text1"/>
          <w:sz w:val="24"/>
          <w:szCs w:val="24"/>
          <w14:textFill>
            <w14:solidFill>
              <w14:schemeClr w14:val="tx1"/>
            </w14:solidFill>
          </w14:textFill>
        </w:rPr>
      </w:pPr>
    </w:p>
    <w:p>
      <w:pPr>
        <w:pStyle w:val="2"/>
        <w:ind w:firstLine="480"/>
        <w:rPr>
          <w:rFonts w:cs="等线" w:asciiTheme="minorEastAsia" w:hAnsiTheme="minorEastAsia" w:eastAsiaTheme="minorEastAsia"/>
          <w:color w:val="000000" w:themeColor="text1"/>
          <w:sz w:val="24"/>
          <w:szCs w:val="24"/>
          <w14:textFill>
            <w14:solidFill>
              <w14:schemeClr w14:val="tx1"/>
            </w14:solidFill>
          </w14:textFill>
        </w:rPr>
      </w:pPr>
    </w:p>
    <w:tbl>
      <w:tblPr>
        <w:tblStyle w:val="68"/>
        <w:tblW w:w="9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4"/>
        <w:gridCol w:w="4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pPr>
              <w:adjustRightInd w:val="0"/>
              <w:snapToGrid w:val="0"/>
              <w:spacing w:before="240" w:beforeLines="100" w:after="240" w:afterLines="100" w:line="360" w:lineRule="auto"/>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 xml:space="preserve">甲方（盖章）：                        </w:t>
            </w:r>
          </w:p>
          <w:p>
            <w:pPr>
              <w:adjustRightInd w:val="0"/>
              <w:snapToGrid w:val="0"/>
              <w:spacing w:before="240" w:beforeLines="100" w:after="240" w:afterLines="100"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法定代表人/授权代理人（签字）：</w:t>
            </w:r>
          </w:p>
          <w:p>
            <w:pPr>
              <w:adjustRightInd w:val="0"/>
              <w:snapToGrid w:val="0"/>
              <w:spacing w:before="240" w:beforeLines="100" w:after="240" w:afterLines="100"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签约日期：    年  月  日</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p>
        </w:tc>
        <w:tc>
          <w:tcPr>
            <w:tcW w:w="4815" w:type="dxa"/>
          </w:tcPr>
          <w:p>
            <w:pPr>
              <w:adjustRightInd w:val="0"/>
              <w:snapToGrid w:val="0"/>
              <w:spacing w:before="240" w:beforeLines="100" w:after="240" w:afterLines="100" w:line="360" w:lineRule="auto"/>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乙方（盖章）：</w:t>
            </w:r>
          </w:p>
          <w:p>
            <w:pPr>
              <w:adjustRightInd w:val="0"/>
              <w:snapToGrid w:val="0"/>
              <w:spacing w:before="240" w:beforeLines="100" w:after="240" w:afterLines="100"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法定代表人/授权代理人（签字）：</w:t>
            </w:r>
          </w:p>
          <w:p>
            <w:pPr>
              <w:adjustRightInd w:val="0"/>
              <w:snapToGrid w:val="0"/>
              <w:spacing w:before="240" w:beforeLines="100" w:after="240" w:afterLines="100" w:line="360" w:lineRule="auto"/>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签约日期：    年  月  日</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p>
        </w:tc>
      </w:tr>
      <w:bookmarkEnd w:id="91"/>
      <w:bookmarkEnd w:id="92"/>
      <w:bookmarkEnd w:id="93"/>
      <w:bookmarkEnd w:id="94"/>
      <w:bookmarkEnd w:id="95"/>
      <w:bookmarkEnd w:id="96"/>
      <w:bookmarkEnd w:id="97"/>
      <w:bookmarkEnd w:id="98"/>
    </w:tbl>
    <w:p>
      <w:pPr>
        <w:spacing w:line="360" w:lineRule="auto"/>
        <w:rPr>
          <w:rFonts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附件：</w:t>
      </w:r>
    </w:p>
    <w:p>
      <w:pPr>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附件1：工程质量保修书</w:t>
      </w:r>
    </w:p>
    <w:p>
      <w:pPr>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附件2：主要建设工程文件目录</w:t>
      </w:r>
    </w:p>
    <w:p>
      <w:pPr>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附件3：承包人用于本工程施工的机械设备表</w:t>
      </w:r>
    </w:p>
    <w:p>
      <w:pPr>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附件4：承包人主要施工管理人员表</w:t>
      </w:r>
    </w:p>
    <w:p>
      <w:pPr>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附件5：廉政协议</w:t>
      </w:r>
    </w:p>
    <w:p>
      <w:pPr>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附件6：暂估价一览表</w:t>
      </w:r>
    </w:p>
    <w:p>
      <w:pPr>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附件7：施工安全协议书</w:t>
      </w:r>
    </w:p>
    <w:p>
      <w:pPr>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附件8：违约处罚标准</w:t>
      </w:r>
    </w:p>
    <w:p>
      <w:pPr>
        <w:rPr>
          <w:rFonts w:asciiTheme="minorEastAsia" w:hAnsiTheme="minorEastAsia" w:eastAsiaTheme="minorEastAsia"/>
          <w:b/>
          <w:bCs/>
          <w:color w:val="000000" w:themeColor="text1"/>
          <w:sz w:val="24"/>
          <w:szCs w:val="24"/>
          <w14:textFill>
            <w14:solidFill>
              <w14:schemeClr w14:val="tx1"/>
            </w14:solidFill>
          </w14:textFill>
        </w:rPr>
      </w:pPr>
    </w:p>
    <w:p>
      <w:pPr>
        <w:jc w:val="center"/>
        <w:rPr>
          <w:rFonts w:asciiTheme="minorEastAsia" w:hAnsiTheme="minorEastAsia" w:eastAsiaTheme="minorEastAsia"/>
          <w:b/>
          <w:bCs/>
          <w:color w:val="000000" w:themeColor="text1"/>
          <w:sz w:val="24"/>
          <w:szCs w:val="24"/>
          <w14:textFill>
            <w14:solidFill>
              <w14:schemeClr w14:val="tx1"/>
            </w14:solidFill>
          </w14:textFill>
        </w:rPr>
      </w:pPr>
    </w:p>
    <w:p>
      <w:pPr>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w:t>
      </w:r>
      <w:bookmarkStart w:id="99" w:name="_Toc267261693"/>
      <w:bookmarkStart w:id="100" w:name="_Toc296891054"/>
      <w:bookmarkStart w:id="101" w:name="_Toc296503226"/>
      <w:bookmarkStart w:id="102" w:name="_Toc296346727"/>
      <w:bookmarkStart w:id="103" w:name="_Toc296944565"/>
      <w:bookmarkStart w:id="104" w:name="_Toc296347225"/>
      <w:bookmarkStart w:id="105" w:name="_Toc296891266"/>
      <w:r>
        <w:rPr>
          <w:rFonts w:hint="eastAsia" w:asciiTheme="minorEastAsia" w:hAnsiTheme="minorEastAsia" w:eastAsiaTheme="minorEastAsia"/>
          <w:color w:val="000000" w:themeColor="text1"/>
          <w:sz w:val="24"/>
          <w:szCs w:val="24"/>
          <w14:textFill>
            <w14:solidFill>
              <w14:schemeClr w14:val="tx1"/>
            </w14:solidFill>
          </w14:textFill>
        </w:rPr>
        <w:t>件1：</w:t>
      </w:r>
      <w:bookmarkEnd w:id="99"/>
      <w:bookmarkEnd w:id="100"/>
      <w:bookmarkEnd w:id="101"/>
      <w:bookmarkEnd w:id="102"/>
      <w:bookmarkEnd w:id="103"/>
      <w:bookmarkEnd w:id="104"/>
      <w:bookmarkEnd w:id="105"/>
    </w:p>
    <w:p>
      <w:pPr>
        <w:spacing w:before="120" w:beforeLines="50" w:after="120" w:afterLines="50"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工程质量保修书</w:t>
      </w:r>
    </w:p>
    <w:p>
      <w:pPr>
        <w:spacing w:line="360" w:lineRule="auto"/>
        <w:ind w:firstLine="480" w:firstLineChars="200"/>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发包人（全称）：</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合肥文旅博览集团有限公司    </w:t>
      </w:r>
    </w:p>
    <w:p>
      <w:pPr>
        <w:spacing w:line="360" w:lineRule="auto"/>
        <w:ind w:firstLine="46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承包人（全称）：</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发包人和承包人根据《中华人民共和国建筑法》和《建设工程质量管理条例》，经协商一致就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（工程全称）签订工程质量保修书。</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一、工程质量保修范围和内容</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承包人在质量保修期内，按照有关法律规定和合同约定，承担工程质量保修责任。</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                        </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　　</w:t>
      </w:r>
      <w:r>
        <w:rPr>
          <w:rFonts w:hint="eastAsia" w:asciiTheme="minorEastAsia" w:hAnsiTheme="minorEastAsia" w:eastAsiaTheme="minorEastAsia"/>
          <w:color w:val="000000" w:themeColor="text1"/>
          <w:sz w:val="24"/>
          <w:szCs w:val="24"/>
          <w14:textFill>
            <w14:solidFill>
              <w14:schemeClr w14:val="tx1"/>
            </w14:solidFill>
          </w14:textFill>
        </w:rPr>
        <w:t>二、质量保修期</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根据《建设工程质量管理条例》及有关规定，工程的质量保修期如下：</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．地基基础工程和主体结构工程为设计文件规定的工程合理使用年限；</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．屋面防水工程、有防水要求的卫生间、房间和外墙面的防渗为</w:t>
      </w:r>
      <w:r>
        <w:rPr>
          <w:rFonts w:hint="eastAsia" w:asciiTheme="minorEastAsia" w:hAnsiTheme="minorEastAsia" w:eastAsiaTheme="minorEastAsia"/>
          <w:color w:val="000000" w:themeColor="text1"/>
          <w:sz w:val="24"/>
          <w:szCs w:val="24"/>
          <w:u w:val="single"/>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年；</w:t>
      </w:r>
    </w:p>
    <w:p>
      <w:pPr>
        <w:spacing w:line="360" w:lineRule="auto"/>
        <w:ind w:left="420" w:leftChars="200" w:firstLine="120" w:firstLineChars="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．装修工程为</w:t>
      </w:r>
      <w:r>
        <w:rPr>
          <w:rFonts w:hint="eastAsia" w:asciiTheme="minorEastAsia" w:hAnsiTheme="minorEastAsia" w:eastAsiaTheme="minorEastAsia"/>
          <w:color w:val="000000" w:themeColor="text1"/>
          <w:sz w:val="24"/>
          <w:szCs w:val="24"/>
          <w:u w:val="single"/>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年；</w:t>
      </w:r>
    </w:p>
    <w:p>
      <w:pPr>
        <w:spacing w:line="360" w:lineRule="auto"/>
        <w:ind w:left="420" w:leftChars="200" w:firstLine="120" w:firstLineChars="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．电气管线、给排水管道、设备安装工程为</w:t>
      </w:r>
      <w:r>
        <w:rPr>
          <w:rFonts w:hint="eastAsia" w:asciiTheme="minorEastAsia" w:hAnsiTheme="minorEastAsia" w:eastAsiaTheme="minorEastAsia"/>
          <w:color w:val="000000" w:themeColor="text1"/>
          <w:sz w:val="24"/>
          <w:szCs w:val="24"/>
          <w:u w:val="single"/>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年；</w:t>
      </w:r>
    </w:p>
    <w:p>
      <w:pPr>
        <w:spacing w:line="360" w:lineRule="auto"/>
        <w:ind w:left="420" w:leftChars="200" w:firstLine="120" w:firstLineChars="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．供热与供冷系统为</w:t>
      </w:r>
      <w:r>
        <w:rPr>
          <w:rFonts w:hint="eastAsia" w:asciiTheme="minorEastAsia" w:hAnsiTheme="minorEastAsia" w:eastAsiaTheme="minorEastAsia"/>
          <w:color w:val="000000" w:themeColor="text1"/>
          <w:sz w:val="24"/>
          <w:szCs w:val="24"/>
          <w:u w:val="single"/>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个采暖期、供冷期；</w:t>
      </w:r>
    </w:p>
    <w:p>
      <w:pPr>
        <w:spacing w:line="360" w:lineRule="auto"/>
        <w:ind w:left="420" w:leftChars="200" w:firstLine="120" w:firstLineChars="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．住宅小区内的给排水设施、道路等配套工程为</w:t>
      </w:r>
      <w:r>
        <w:rPr>
          <w:rFonts w:asciiTheme="minorEastAsia" w:hAnsiTheme="minorEastAsia" w:eastAsiaTheme="minorEastAsia"/>
          <w:color w:val="000000" w:themeColor="text1"/>
          <w:sz w:val="24"/>
          <w:szCs w:val="24"/>
          <w:u w:val="single"/>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年；</w:t>
      </w:r>
    </w:p>
    <w:p>
      <w:pPr>
        <w:spacing w:line="360" w:lineRule="auto"/>
        <w:ind w:left="420" w:leftChars="200" w:firstLine="120" w:firstLineChars="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7</w:t>
      </w:r>
      <w:r>
        <w:rPr>
          <w:rFonts w:hint="eastAsia" w:asciiTheme="minorEastAsia" w:hAnsiTheme="minorEastAsia" w:eastAsiaTheme="minorEastAsia"/>
          <w:color w:val="000000" w:themeColor="text1"/>
          <w:sz w:val="24"/>
          <w:szCs w:val="24"/>
          <w14:textFill>
            <w14:solidFill>
              <w14:schemeClr w14:val="tx1"/>
            </w14:solidFill>
          </w14:textFill>
        </w:rPr>
        <w:t>．其他项目保修期限约定如下：</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保温工程5年  </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质量保修期自工程竣工验收合格之日起计算。</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三、缺陷责任期</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工程缺陷责任期为</w:t>
      </w:r>
      <w:r>
        <w:rPr>
          <w:rFonts w:hint="eastAsia" w:asciiTheme="minorEastAsia" w:hAnsiTheme="minorEastAsia" w:eastAsiaTheme="minorEastAsia"/>
          <w:color w:val="000000" w:themeColor="text1"/>
          <w:sz w:val="24"/>
          <w:szCs w:val="24"/>
          <w:u w:val="single"/>
          <w14:textFill>
            <w14:solidFill>
              <w14:schemeClr w14:val="tx1"/>
            </w14:solidFill>
          </w14:textFill>
        </w:rPr>
        <w:t>24</w:t>
      </w:r>
      <w:r>
        <w:rPr>
          <w:rFonts w:hint="eastAsia" w:asciiTheme="minorEastAsia" w:hAnsiTheme="minorEastAsia" w:eastAsiaTheme="minorEastAsia"/>
          <w:color w:val="000000" w:themeColor="text1"/>
          <w:sz w:val="24"/>
          <w:szCs w:val="24"/>
          <w14:textFill>
            <w14:solidFill>
              <w14:schemeClr w14:val="tx1"/>
            </w14:solidFill>
          </w14:textFill>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缺陷责任期终止后，发包人应退还剩余的质量保证金。</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四、质量保修责任</w:t>
      </w:r>
    </w:p>
    <w:p>
      <w:pPr>
        <w:spacing w:line="360" w:lineRule="auto"/>
        <w:ind w:left="105" w:leftChars="50" w:firstLine="491" w:firstLineChars="20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．属于保修范围、内容的项目，承包人应当在接到保修通知之日起</w:t>
      </w:r>
      <w:r>
        <w:rPr>
          <w:rFonts w:asciiTheme="minorEastAsia" w:hAnsiTheme="minorEastAsia" w:eastAsiaTheme="minorEastAsia"/>
          <w:color w:val="000000" w:themeColor="text1"/>
          <w:sz w:val="24"/>
          <w:szCs w:val="24"/>
          <w14:textFill>
            <w14:solidFill>
              <w14:schemeClr w14:val="tx1"/>
            </w14:solidFill>
          </w14:textFill>
        </w:rPr>
        <w:t>7</w:t>
      </w:r>
      <w:r>
        <w:rPr>
          <w:rFonts w:hint="eastAsia" w:asciiTheme="minorEastAsia" w:hAnsiTheme="minorEastAsia" w:eastAsiaTheme="minorEastAsia"/>
          <w:color w:val="000000" w:themeColor="text1"/>
          <w:sz w:val="24"/>
          <w:szCs w:val="24"/>
          <w14:textFill>
            <w14:solidFill>
              <w14:schemeClr w14:val="tx1"/>
            </w14:solidFill>
          </w14:textFill>
        </w:rPr>
        <w:t>天内派人保修。承包人不在约定期限内派人保修的，发包人可以委托他人修理。</w:t>
      </w:r>
    </w:p>
    <w:p>
      <w:pPr>
        <w:spacing w:line="360" w:lineRule="auto"/>
        <w:ind w:left="105" w:leftChars="50" w:firstLine="491" w:firstLineChars="20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．发生紧急事故需抢修的，承包人在接到事故通知后，应当立即到达事故现场抢修。</w:t>
      </w:r>
    </w:p>
    <w:p>
      <w:pPr>
        <w:spacing w:line="360" w:lineRule="auto"/>
        <w:ind w:left="105" w:leftChars="50" w:firstLine="491" w:firstLineChars="205"/>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．质量保修完成后，由发包人组织验收。</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五、保修费用</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保修费用由造成质量缺陷的责任方承担。</w:t>
      </w:r>
    </w:p>
    <w:p>
      <w:pPr>
        <w:spacing w:line="360" w:lineRule="auto"/>
        <w:ind w:firstLine="482"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六</w:t>
      </w:r>
      <w:r>
        <w:rPr>
          <w:rFonts w:hint="eastAsia" w:asciiTheme="minorEastAsia" w:hAnsiTheme="minorEastAsia" w:eastAsiaTheme="minorEastAsia"/>
          <w:color w:val="000000" w:themeColor="text1"/>
          <w:sz w:val="24"/>
          <w:szCs w:val="24"/>
          <w14:textFill>
            <w14:solidFill>
              <w14:schemeClr w14:val="tx1"/>
            </w14:solidFill>
          </w14:textFill>
        </w:rPr>
        <w:t>、双方约定的其他工程质量保修事项：</w:t>
      </w:r>
      <w:r>
        <w:rPr>
          <w:rFonts w:hint="eastAsia" w:asciiTheme="minorEastAsia" w:hAnsiTheme="minorEastAsia" w:eastAsiaTheme="minorEastAsia"/>
          <w:color w:val="000000" w:themeColor="text1"/>
          <w:sz w:val="24"/>
          <w:szCs w:val="24"/>
          <w:u w:val="single"/>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360" w:lineRule="auto"/>
        <w:ind w:firstLine="456" w:firstLineChars="19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工程质量保修书由发包人、承包人在工程竣工验收前共同签署，作为施工合同附件，其有效期限至保修期满。</w:t>
      </w:r>
    </w:p>
    <w:p>
      <w:pPr>
        <w:pStyle w:val="66"/>
        <w:spacing w:line="360" w:lineRule="auto"/>
        <w:ind w:firstLine="480"/>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发包人：  (公章)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承包人：  (公章)</w:t>
      </w:r>
      <w:r>
        <w:rPr>
          <w:rFonts w:asciiTheme="minorEastAsia" w:hAnsiTheme="minorEastAsia" w:eastAsiaTheme="minorEastAsia"/>
          <w:color w:val="000000" w:themeColor="text1"/>
          <w:sz w:val="24"/>
          <w:szCs w:val="24"/>
          <w14:textFill>
            <w14:solidFill>
              <w14:schemeClr w14:val="tx1"/>
            </w14:solidFill>
          </w14:textFill>
        </w:rPr>
        <w:t xml:space="preserve">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法定代表人或其委托代理人：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法定代表人或其委托代理人：</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（签字）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（签字）</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组织机构代码：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组织机构代码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地  址：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地  址：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邮政编码：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邮政编码：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法定代表人：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法定代表人：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委托代理人：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委托代理人：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电  话：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电  话：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传  真：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传  真：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电子信箱：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电子信箱：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开户银行：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开户银行：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账  号：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账  号：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color w:val="000000" w:themeColor="text1"/>
          <w:sz w:val="24"/>
          <w:szCs w:val="24"/>
          <w14:textFill>
            <w14:solidFill>
              <w14:schemeClr w14:val="tx1"/>
            </w14:solidFill>
          </w14:textFill>
        </w:rPr>
        <w:t>附件2：</w:t>
      </w:r>
    </w:p>
    <w:p>
      <w:pPr>
        <w:spacing w:before="120" w:beforeLines="50" w:after="120" w:afterLines="50"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主要建设工程文件目录</w:t>
      </w:r>
    </w:p>
    <w:tbl>
      <w:tblPr>
        <w:tblStyle w:val="6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文件名称</w:t>
            </w:r>
          </w:p>
        </w:tc>
        <w:tc>
          <w:tcPr>
            <w:tcW w:w="1276" w:type="dxa"/>
            <w:tcBorders>
              <w:top w:val="single" w:color="auto" w:sz="12" w:space="0"/>
              <w:bottom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套数</w:t>
            </w:r>
          </w:p>
        </w:tc>
        <w:tc>
          <w:tcPr>
            <w:tcW w:w="1450" w:type="dxa"/>
            <w:tcBorders>
              <w:top w:val="single" w:color="auto" w:sz="12" w:space="0"/>
              <w:bottom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费用（元）</w:t>
            </w:r>
          </w:p>
        </w:tc>
        <w:tc>
          <w:tcPr>
            <w:tcW w:w="1243" w:type="dxa"/>
            <w:tcBorders>
              <w:top w:val="single" w:color="auto" w:sz="12" w:space="0"/>
              <w:bottom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质量</w:t>
            </w:r>
          </w:p>
        </w:tc>
        <w:tc>
          <w:tcPr>
            <w:tcW w:w="1450" w:type="dxa"/>
            <w:tcBorders>
              <w:top w:val="single" w:color="auto" w:sz="12" w:space="0"/>
              <w:bottom w:val="double" w:color="auto" w:sz="6" w:space="0"/>
            </w:tcBorders>
            <w:noWrap/>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移交时间</w:t>
            </w:r>
          </w:p>
        </w:tc>
        <w:tc>
          <w:tcPr>
            <w:tcW w:w="1667" w:type="dxa"/>
            <w:tcBorders>
              <w:top w:val="single" w:color="auto" w:sz="12" w:space="0"/>
              <w:bottom w:val="double" w:color="auto" w:sz="6" w:space="0"/>
            </w:tcBorders>
            <w:noWrap/>
          </w:tcPr>
          <w:p>
            <w:pPr>
              <w:spacing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76" w:type="dxa"/>
            <w:tcBorders>
              <w:top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tcBorders>
              <w:top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43" w:type="dxa"/>
            <w:tcBorders>
              <w:top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tcBorders>
              <w:top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667" w:type="dxa"/>
            <w:tcBorders>
              <w:top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76" w:type="dxa"/>
            <w:tcBorders>
              <w:top w:val="nil"/>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tcBorders>
              <w:top w:val="nil"/>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43" w:type="dxa"/>
            <w:tcBorders>
              <w:top w:val="nil"/>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tcBorders>
              <w:top w:val="nil"/>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667" w:type="dxa"/>
            <w:tcBorders>
              <w:top w:val="nil"/>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76"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4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667"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76"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4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667"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76"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4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667"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76"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4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667"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76"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4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667"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76"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243"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50"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667" w:type="dxa"/>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bl>
    <w:p>
      <w:pPr>
        <w:spacing w:line="440" w:lineRule="exact"/>
        <w:rPr>
          <w:rFonts w:asciiTheme="minorEastAsia" w:hAnsiTheme="minorEastAsia" w:eastAsiaTheme="minorEastAsia"/>
          <w:color w:val="000000" w:themeColor="text1"/>
          <w:sz w:val="24"/>
          <w:szCs w:val="24"/>
          <w14:textFill>
            <w14:solidFill>
              <w14:schemeClr w14:val="tx1"/>
            </w14:solidFill>
          </w14:textFill>
        </w:rPr>
      </w:pP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w:t>
      </w:r>
      <w:bookmarkStart w:id="106" w:name="_Toc296346728"/>
      <w:bookmarkStart w:id="107" w:name="_Toc296503227"/>
      <w:bookmarkStart w:id="108" w:name="_Toc296347226"/>
      <w:bookmarkStart w:id="109" w:name="_Toc296891267"/>
      <w:bookmarkStart w:id="110" w:name="_Toc267261698"/>
      <w:bookmarkStart w:id="111" w:name="_Toc296891055"/>
      <w:bookmarkStart w:id="112" w:name="_Toc296944566"/>
      <w:r>
        <w:rPr>
          <w:rFonts w:hint="eastAsia" w:asciiTheme="minorEastAsia" w:hAnsiTheme="minorEastAsia" w:eastAsiaTheme="minorEastAsia"/>
          <w:color w:val="000000" w:themeColor="text1"/>
          <w:sz w:val="24"/>
          <w:szCs w:val="24"/>
          <w14:textFill>
            <w14:solidFill>
              <w14:schemeClr w14:val="tx1"/>
            </w14:solidFill>
          </w14:textFill>
        </w:rPr>
        <w:t>件3：</w:t>
      </w:r>
    </w:p>
    <w:bookmarkEnd w:id="106"/>
    <w:bookmarkEnd w:id="107"/>
    <w:bookmarkEnd w:id="108"/>
    <w:bookmarkEnd w:id="109"/>
    <w:bookmarkEnd w:id="110"/>
    <w:bookmarkEnd w:id="111"/>
    <w:bookmarkEnd w:id="112"/>
    <w:p>
      <w:pPr>
        <w:spacing w:before="120" w:beforeLines="50" w:after="120" w:afterLines="50"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承包人用于本工程施工的机械设备表</w:t>
      </w:r>
    </w:p>
    <w:tbl>
      <w:tblPr>
        <w:tblStyle w:val="67"/>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4"/>
        <w:gridCol w:w="1418"/>
        <w:gridCol w:w="1594"/>
        <w:gridCol w:w="600"/>
        <w:gridCol w:w="788"/>
        <w:gridCol w:w="826"/>
        <w:gridCol w:w="1480"/>
        <w:gridCol w:w="102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12" w:space="0"/>
              <w:bottom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418" w:type="dxa"/>
            <w:tcBorders>
              <w:top w:val="single" w:color="auto" w:sz="12" w:space="0"/>
              <w:bottom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机械或设备名称</w:t>
            </w:r>
          </w:p>
        </w:tc>
        <w:tc>
          <w:tcPr>
            <w:tcW w:w="1594" w:type="dxa"/>
            <w:tcBorders>
              <w:top w:val="single" w:color="auto" w:sz="12" w:space="0"/>
              <w:bottom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规格型号</w:t>
            </w:r>
          </w:p>
        </w:tc>
        <w:tc>
          <w:tcPr>
            <w:tcW w:w="600" w:type="dxa"/>
            <w:tcBorders>
              <w:top w:val="single" w:color="auto" w:sz="12" w:space="0"/>
              <w:bottom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数量</w:t>
            </w:r>
          </w:p>
        </w:tc>
        <w:tc>
          <w:tcPr>
            <w:tcW w:w="788" w:type="dxa"/>
            <w:tcBorders>
              <w:top w:val="single" w:color="auto" w:sz="12" w:space="0"/>
              <w:bottom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产地</w:t>
            </w:r>
          </w:p>
        </w:tc>
        <w:tc>
          <w:tcPr>
            <w:tcW w:w="826" w:type="dxa"/>
            <w:tcBorders>
              <w:top w:val="single" w:color="auto" w:sz="12" w:space="0"/>
              <w:bottom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制造年份</w:t>
            </w:r>
          </w:p>
        </w:tc>
        <w:tc>
          <w:tcPr>
            <w:tcW w:w="1480" w:type="dxa"/>
            <w:tcBorders>
              <w:top w:val="single" w:color="auto" w:sz="12" w:space="0"/>
              <w:bottom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额定功率</w:t>
            </w:r>
            <w:r>
              <w:rPr>
                <w:rFonts w:asciiTheme="minorEastAsia" w:hAnsiTheme="minorEastAsia" w:eastAsiaTheme="minorEastAsia"/>
                <w:color w:val="000000" w:themeColor="text1"/>
                <w:sz w:val="24"/>
                <w:szCs w:val="24"/>
                <w14:textFill>
                  <w14:solidFill>
                    <w14:schemeClr w14:val="tx1"/>
                  </w14:solidFill>
                </w14:textFill>
              </w:rPr>
              <w:t>(kW)</w:t>
            </w:r>
          </w:p>
        </w:tc>
        <w:tc>
          <w:tcPr>
            <w:tcW w:w="1020" w:type="dxa"/>
            <w:tcBorders>
              <w:top w:val="single" w:color="auto" w:sz="12" w:space="0"/>
              <w:bottom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生产</w:t>
            </w:r>
          </w:p>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能力</w:t>
            </w:r>
          </w:p>
        </w:tc>
        <w:tc>
          <w:tcPr>
            <w:tcW w:w="722" w:type="dxa"/>
            <w:tcBorders>
              <w:top w:val="single" w:color="auto" w:sz="12" w:space="0"/>
              <w:bottom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tcBorders>
              <w:top w:val="double" w:color="auto" w:sz="6" w:space="0"/>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418" w:type="dxa"/>
            <w:tcBorders>
              <w:top w:val="double" w:color="auto" w:sz="6" w:space="0"/>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594" w:type="dxa"/>
            <w:tcBorders>
              <w:top w:val="double" w:color="auto" w:sz="6" w:space="0"/>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600" w:type="dxa"/>
            <w:tcBorders>
              <w:top w:val="double" w:color="auto" w:sz="6" w:space="0"/>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788" w:type="dxa"/>
            <w:tcBorders>
              <w:top w:val="double" w:color="auto" w:sz="6" w:space="0"/>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826" w:type="dxa"/>
            <w:tcBorders>
              <w:top w:val="double" w:color="auto" w:sz="6" w:space="0"/>
            </w:tcBorders>
            <w:noWrap/>
            <w:vAlign w:val="center"/>
          </w:tcPr>
          <w:p>
            <w:pPr>
              <w:pStyle w:val="25"/>
              <w:keepNext/>
              <w:spacing w:line="440" w:lineRule="exact"/>
              <w:ind w:left="63" w:right="63"/>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1480" w:type="dxa"/>
            <w:tcBorders>
              <w:top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1020" w:type="dxa"/>
            <w:tcBorders>
              <w:top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722" w:type="dxa"/>
            <w:tcBorders>
              <w:top w:val="double" w:color="auto" w:sz="6" w:space="0"/>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tcBorders>
              <w:top w:val="nil"/>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418" w:type="dxa"/>
            <w:tcBorders>
              <w:top w:val="nil"/>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594" w:type="dxa"/>
            <w:tcBorders>
              <w:top w:val="nil"/>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600" w:type="dxa"/>
            <w:tcBorders>
              <w:top w:val="nil"/>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788" w:type="dxa"/>
            <w:tcBorders>
              <w:top w:val="nil"/>
            </w:tcBorders>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826" w:type="dxa"/>
            <w:tcBorders>
              <w:top w:val="nil"/>
            </w:tcBorders>
            <w:noWrap/>
            <w:vAlign w:val="center"/>
          </w:tcPr>
          <w:p>
            <w:pPr>
              <w:pStyle w:val="25"/>
              <w:keepNext/>
              <w:spacing w:line="440" w:lineRule="exact"/>
              <w:ind w:left="63" w:right="63"/>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1480" w:type="dxa"/>
            <w:tcBorders>
              <w:top w:val="nil"/>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1020" w:type="dxa"/>
            <w:tcBorders>
              <w:top w:val="nil"/>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722" w:type="dxa"/>
            <w:tcBorders>
              <w:top w:val="nil"/>
            </w:tcBorders>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41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59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600"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78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826" w:type="dxa"/>
            <w:noWrap/>
            <w:vAlign w:val="center"/>
          </w:tcPr>
          <w:p>
            <w:pPr>
              <w:pStyle w:val="25"/>
              <w:keepNext/>
              <w:spacing w:line="440" w:lineRule="exact"/>
              <w:ind w:left="63" w:right="63"/>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148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102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722"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41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59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600"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78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826" w:type="dxa"/>
            <w:noWrap/>
            <w:vAlign w:val="center"/>
          </w:tcPr>
          <w:p>
            <w:pPr>
              <w:pStyle w:val="25"/>
              <w:keepNext/>
              <w:spacing w:line="440" w:lineRule="exact"/>
              <w:ind w:left="63" w:right="63"/>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148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102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722"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41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59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600"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78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826" w:type="dxa"/>
            <w:noWrap/>
            <w:vAlign w:val="center"/>
          </w:tcPr>
          <w:p>
            <w:pPr>
              <w:pStyle w:val="25"/>
              <w:keepNext/>
              <w:spacing w:line="440" w:lineRule="exact"/>
              <w:ind w:left="63" w:right="63"/>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148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102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722"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41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59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600"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78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826" w:type="dxa"/>
            <w:noWrap/>
            <w:vAlign w:val="center"/>
          </w:tcPr>
          <w:p>
            <w:pPr>
              <w:pStyle w:val="25"/>
              <w:keepNext/>
              <w:spacing w:line="440" w:lineRule="exact"/>
              <w:ind w:left="63" w:right="63"/>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148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102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722"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41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1594"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600"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788" w:type="dxa"/>
            <w:noWrap/>
            <w:vAlign w:val="center"/>
          </w:tcPr>
          <w:p>
            <w:pPr>
              <w:pStyle w:val="61"/>
              <w:keepNext/>
              <w:widowControl w:val="0"/>
              <w:spacing w:before="0" w:beforeAutospacing="0" w:after="120" w:afterAutospacing="0" w:line="440" w:lineRule="exact"/>
              <w:ind w:left="63" w:right="63"/>
              <w:jc w:val="center"/>
              <w:rPr>
                <w:rFonts w:cs="仿宋" w:asciiTheme="minorEastAsia" w:hAnsiTheme="minorEastAsia" w:eastAsiaTheme="minorEastAsia"/>
                <w:color w:val="000000" w:themeColor="text1"/>
                <w14:textFill>
                  <w14:solidFill>
                    <w14:schemeClr w14:val="tx1"/>
                  </w14:solidFill>
                </w14:textFill>
              </w:rPr>
            </w:pPr>
          </w:p>
        </w:tc>
        <w:tc>
          <w:tcPr>
            <w:tcW w:w="826" w:type="dxa"/>
            <w:noWrap/>
            <w:vAlign w:val="center"/>
          </w:tcPr>
          <w:p>
            <w:pPr>
              <w:pStyle w:val="25"/>
              <w:keepNext/>
              <w:spacing w:line="440" w:lineRule="exact"/>
              <w:ind w:left="63" w:right="63"/>
              <w:jc w:val="center"/>
              <w:rPr>
                <w:rFonts w:cs="仿宋" w:asciiTheme="minorEastAsia" w:hAnsiTheme="minorEastAsia" w:eastAsiaTheme="minorEastAsia"/>
                <w:color w:val="000000" w:themeColor="text1"/>
                <w:sz w:val="24"/>
                <w:szCs w:val="24"/>
                <w14:textFill>
                  <w14:solidFill>
                    <w14:schemeClr w14:val="tx1"/>
                  </w14:solidFill>
                </w14:textFill>
              </w:rPr>
            </w:pPr>
          </w:p>
        </w:tc>
        <w:tc>
          <w:tcPr>
            <w:tcW w:w="148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1020"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c>
          <w:tcPr>
            <w:tcW w:w="722" w:type="dxa"/>
            <w:noWrap/>
            <w:vAlign w:val="center"/>
          </w:tcPr>
          <w:p>
            <w:pPr>
              <w:pStyle w:val="25"/>
              <w:keepNext/>
              <w:spacing w:line="440" w:lineRule="exact"/>
              <w:ind w:left="63" w:right="63"/>
              <w:jc w:val="center"/>
              <w:rPr>
                <w:rFonts w:asciiTheme="minorEastAsia" w:hAnsiTheme="minorEastAsia" w:eastAsiaTheme="minorEastAsia"/>
                <w:color w:val="000000" w:themeColor="text1"/>
                <w:sz w:val="24"/>
                <w:szCs w:val="24"/>
                <w14:textFill>
                  <w14:solidFill>
                    <w14:schemeClr w14:val="tx1"/>
                  </w14:solidFill>
                </w14:textFill>
              </w:rPr>
            </w:pPr>
          </w:p>
        </w:tc>
      </w:tr>
    </w:tbl>
    <w:p>
      <w:pPr>
        <w:spacing w:line="440" w:lineRule="exact"/>
        <w:rPr>
          <w:rFonts w:asciiTheme="minorEastAsia" w:hAnsiTheme="minorEastAsia" w:eastAsiaTheme="minorEastAsia"/>
          <w:color w:val="000000" w:themeColor="text1"/>
          <w:sz w:val="24"/>
          <w:szCs w:val="24"/>
          <w14:textFill>
            <w14:solidFill>
              <w14:schemeClr w14:val="tx1"/>
            </w14:solidFill>
          </w14:textFill>
        </w:rPr>
      </w:pP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附件4：</w:t>
      </w:r>
    </w:p>
    <w:p>
      <w:pPr>
        <w:spacing w:before="120" w:beforeLines="50" w:after="120" w:afterLines="50"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承包人主要施工管理人员表</w:t>
      </w:r>
    </w:p>
    <w:tbl>
      <w:tblPr>
        <w:tblStyle w:val="67"/>
        <w:tblW w:w="9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24"/>
        <w:gridCol w:w="1134"/>
        <w:gridCol w:w="2051"/>
        <w:gridCol w:w="1888"/>
        <w:gridCol w:w="21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824" w:type="dxa"/>
            <w:tcBorders>
              <w:top w:val="single" w:color="auto" w:sz="12" w:space="0"/>
              <w:bottom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名称</w:t>
            </w:r>
          </w:p>
        </w:tc>
        <w:tc>
          <w:tcPr>
            <w:tcW w:w="1134" w:type="dxa"/>
            <w:tcBorders>
              <w:top w:val="single" w:color="auto" w:sz="12" w:space="0"/>
              <w:bottom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姓名</w:t>
            </w:r>
          </w:p>
        </w:tc>
        <w:tc>
          <w:tcPr>
            <w:tcW w:w="2051" w:type="dxa"/>
            <w:tcBorders>
              <w:top w:val="single" w:color="auto" w:sz="12" w:space="0"/>
              <w:bottom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职务</w:t>
            </w:r>
          </w:p>
        </w:tc>
        <w:tc>
          <w:tcPr>
            <w:tcW w:w="1888" w:type="dxa"/>
            <w:tcBorders>
              <w:top w:val="single" w:color="auto" w:sz="12" w:space="0"/>
              <w:bottom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职称</w:t>
            </w:r>
          </w:p>
        </w:tc>
        <w:tc>
          <w:tcPr>
            <w:tcW w:w="2171" w:type="dxa"/>
            <w:tcBorders>
              <w:top w:val="single" w:color="auto" w:sz="12" w:space="0"/>
              <w:bottom w:val="double" w:color="auto" w:sz="6" w:space="0"/>
            </w:tcBorders>
            <w:noWrap/>
            <w:vAlign w:val="center"/>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3" w:hRule="atLeast"/>
          <w:jc w:val="center"/>
        </w:trPr>
        <w:tc>
          <w:tcPr>
            <w:tcW w:w="9068" w:type="dxa"/>
            <w:gridSpan w:val="5"/>
            <w:tcBorders>
              <w:top w:val="double" w:color="auto" w:sz="6" w:space="0"/>
            </w:tcBorders>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tcBorders>
              <w:top w:val="nil"/>
              <w:bottom w:val="nil"/>
            </w:tcBorders>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项目总指挥</w:t>
            </w:r>
          </w:p>
        </w:tc>
        <w:tc>
          <w:tcPr>
            <w:tcW w:w="1134" w:type="dxa"/>
            <w:tcBorders>
              <w:top w:val="nil"/>
            </w:tcBorders>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tcBorders>
              <w:top w:val="nil"/>
            </w:tcBorders>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tcBorders>
              <w:top w:val="nil"/>
            </w:tcBorders>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tcBorders>
              <w:top w:val="nil"/>
            </w:tcBorders>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tcBorders>
              <w:bottom w:val="nil"/>
            </w:tcBorders>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824" w:type="dxa"/>
            <w:tcBorders>
              <w:top w:val="nil"/>
              <w:bottom w:val="nil"/>
            </w:tcBorders>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其他人员</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6" w:hRule="atLeast"/>
          <w:jc w:val="center"/>
        </w:trPr>
        <w:tc>
          <w:tcPr>
            <w:tcW w:w="1824" w:type="dxa"/>
            <w:tcBorders>
              <w:top w:val="nil"/>
              <w:bottom w:val="nil"/>
            </w:tcBorders>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068" w:type="dxa"/>
            <w:gridSpan w:val="5"/>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项目经理</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技术负责人</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设计负责人</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施工员</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安全员</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质量员</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材料员</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资料员</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2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r>
              <w:rPr>
                <w:rFonts w:hint="eastAsia" w:cs="仿宋" w:asciiTheme="minorEastAsia" w:hAnsiTheme="minorEastAsia" w:eastAsiaTheme="minorEastAsia"/>
                <w:color w:val="000000" w:themeColor="text1"/>
                <w:kern w:val="2"/>
                <w:lang w:bidi="ar"/>
                <w14:textFill>
                  <w14:solidFill>
                    <w14:schemeClr w14:val="tx1"/>
                  </w14:solidFill>
                </w14:textFill>
              </w:rPr>
              <w:t>造价员</w:t>
            </w:r>
          </w:p>
        </w:tc>
        <w:tc>
          <w:tcPr>
            <w:tcW w:w="1134"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05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1888"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c>
          <w:tcPr>
            <w:tcW w:w="2171" w:type="dxa"/>
            <w:noWrap/>
            <w:vAlign w:val="center"/>
          </w:tcPr>
          <w:p>
            <w:pPr>
              <w:pStyle w:val="61"/>
              <w:keepNext/>
              <w:widowControl w:val="0"/>
              <w:spacing w:before="0" w:beforeAutospacing="0" w:after="120" w:afterAutospacing="0" w:line="440" w:lineRule="exact"/>
              <w:ind w:left="63" w:right="63"/>
              <w:jc w:val="both"/>
              <w:rPr>
                <w:rFonts w:asciiTheme="minorEastAsia" w:hAnsiTheme="minorEastAsia" w:eastAsiaTheme="minorEastAsia"/>
                <w:color w:val="000000" w:themeColor="text1"/>
                <w14:textFill>
                  <w14:solidFill>
                    <w14:schemeClr w14:val="tx1"/>
                  </w14:solidFill>
                </w14:textFill>
              </w:rPr>
            </w:pPr>
          </w:p>
        </w:tc>
      </w:tr>
    </w:tbl>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bookmarkStart w:id="113" w:name="_Toc267261701"/>
      <w:r>
        <w:rPr>
          <w:rFonts w:hint="eastAsia" w:asciiTheme="minorEastAsia" w:hAnsiTheme="minorEastAsia" w:eastAsiaTheme="minorEastAsia"/>
          <w:color w:val="000000" w:themeColor="text1"/>
          <w:sz w:val="24"/>
          <w:szCs w:val="24"/>
          <w14:textFill>
            <w14:solidFill>
              <w14:schemeClr w14:val="tx1"/>
            </w14:solidFill>
          </w14:textFill>
        </w:rPr>
        <w:t>附件5：</w:t>
      </w:r>
    </w:p>
    <w:p>
      <w:pPr>
        <w:widowControl/>
        <w:ind w:firstLine="641"/>
        <w:contextualSpacing/>
        <w:jc w:val="center"/>
        <w:rPr>
          <w:rFonts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bCs/>
          <w:color w:val="000000" w:themeColor="text1"/>
          <w:kern w:val="0"/>
          <w:sz w:val="24"/>
          <w:szCs w:val="24"/>
          <w14:textFill>
            <w14:solidFill>
              <w14:schemeClr w14:val="tx1"/>
            </w14:solidFill>
          </w14:textFill>
        </w:rPr>
        <w:t>廉 政 协 议</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甲方：合肥文旅博览集团有限公司</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 xml:space="preserve">乙方： </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第一条</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甲乙双方的权利和义务</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（二）严格执行合同的要求，自觉履行合同约定的相关义务。</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（三）在业务活动中坚持公开、公正、诚信、透明的原则，不得损害国家、集体利益。</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（四）建立健全廉政制度，开展廉政教育，公布举报电话，监督并认真查处违法违纪行为。</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第二条</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甲方的义务</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olor w:val="000000" w:themeColor="text1"/>
          <w:kern w:val="0"/>
          <w:sz w:val="24"/>
          <w:szCs w:val="24"/>
          <w14:textFill>
            <w14:solidFill>
              <w14:schemeClr w14:val="tx1"/>
            </w14:solidFill>
          </w14:textFill>
        </w:rPr>
        <w:t>一</w:t>
      </w:r>
      <w:r>
        <w:rPr>
          <w:rFonts w:asciiTheme="minorEastAsia" w:hAnsiTheme="minorEastAsia" w:eastAsiaTheme="minorEastAsia"/>
          <w:color w:val="000000" w:themeColor="text1"/>
          <w:kern w:val="0"/>
          <w:sz w:val="24"/>
          <w:szCs w:val="24"/>
          <w14:textFill>
            <w14:solidFill>
              <w14:schemeClr w14:val="tx1"/>
            </w14:solidFill>
          </w14:textFill>
        </w:rPr>
        <w:t>)甲方及其工作人员不得索要或接受乙方的礼金、有价证券和贵重物品，不得在乙方报销任何应由甲方单位或个人支付的费用等。</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（三）甲方及其工作人员不得要求或者接受乙方为其住房装修、婚丧嫁娶活动、配偶子女工作安排以及出国出境、旅游等提供方便等。</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（四）甲方工作人员不得在乙方有关联的企业兼职，不得向乙方介绍家属或者亲友从事与甲方业务有关的经济活动。</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（六）甲方工作人员不得利用职务之便收受乙方以回扣、手续费、加班费、咨询费、劳务费、协调费等各种名义给予或赠送的钱物。</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（七）甲方工作人员不得接受乙方给予或赠送的干股或红利。</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（八）甲方任何人不得以个人的名义向乙方推荐设备、部件等供货商以及其他合作单位。</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第三条</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乙方的义务</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asciiTheme="minorEastAsia" w:hAnsiTheme="minorEastAsia" w:eastAsia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olor w:val="000000" w:themeColor="text1"/>
          <w:kern w:val="0"/>
          <w:sz w:val="24"/>
          <w:szCs w:val="24"/>
          <w14:textFill>
            <w14:solidFill>
              <w14:schemeClr w14:val="tx1"/>
            </w14:solidFill>
          </w14:textFill>
        </w:rPr>
        <w:t>一</w:t>
      </w:r>
      <w:r>
        <w:rPr>
          <w:rFonts w:asciiTheme="minorEastAsia" w:hAnsiTheme="minorEastAsia" w:eastAsiaTheme="minorEastAsia"/>
          <w:color w:val="000000" w:themeColor="text1"/>
          <w:kern w:val="0"/>
          <w:sz w:val="24"/>
          <w:szCs w:val="24"/>
          <w14:textFill>
            <w14:solidFill>
              <w14:schemeClr w14:val="tx1"/>
            </w14:solidFill>
          </w14:textFill>
        </w:rPr>
        <w:t>)乙方不得以任何理由向甲方及其工作人员行贿或馈赠礼金、有价证券、贵重礼品。</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w:t>
      </w:r>
      <w:r>
        <w:rPr>
          <w:rFonts w:asciiTheme="minorEastAsia" w:hAnsiTheme="minorEastAsia" w:eastAsiaTheme="minorEastAsia"/>
          <w:color w:val="000000" w:themeColor="text1"/>
          <w:kern w:val="0"/>
          <w:sz w:val="24"/>
          <w:szCs w:val="24"/>
          <w14:textFill>
            <w14:solidFill>
              <w14:schemeClr w14:val="tx1"/>
            </w14:solidFill>
          </w14:textFill>
        </w:rPr>
        <w:t>)乙方不得以任何名义为甲方及其工作人员报销应由甲方单位或个人支付的任何费用。</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asciiTheme="minorEastAsia" w:hAnsiTheme="minorEastAsia" w:eastAsiaTheme="minorEastAsia"/>
          <w:color w:val="000000" w:themeColor="text1"/>
          <w:kern w:val="0"/>
          <w:sz w:val="24"/>
          <w:szCs w:val="24"/>
          <w14:textFill>
            <w14:solidFill>
              <w14:schemeClr w14:val="tx1"/>
            </w14:solidFill>
          </w14:textFill>
        </w:rPr>
        <w:t>(三)乙方不得以任何理由安排甲方工作人员参加可能影响相关业务公开、公正、公平性的宴请及娱乐活动。</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（四）乙方不得为甲方单位和个人购置或提供通讯工具和高档办公用品等物品，也不得为甲方提供与工作无关的房屋、汽车等。</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（五）乙方不得与甲方工作人员就合同中的质量、数量、价格、工程量、验收等条款进行私下商谈或者达成默契。</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（六）乙方不得以回扣、手续费、加班费、咨询费、劳务费等各种名义向甲方工作人员给予或赠送钱物。</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（七）乙方不得向甲方工作人员提供干股或红利。</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（八）乙方须按合肥文旅博览集团纪委要求开展相关工作。</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第四条</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违约责任</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投诉联系部门：合肥文旅博览集团有限公司监察室。联系电话</w:t>
      </w:r>
      <w:r>
        <w:rPr>
          <w:rFonts w:asciiTheme="minorEastAsia" w:hAnsiTheme="minorEastAsia" w:eastAsiaTheme="minorEastAsia"/>
          <w:color w:val="000000" w:themeColor="text1"/>
          <w:kern w:val="0"/>
          <w:sz w:val="24"/>
          <w:szCs w:val="24"/>
          <w14:textFill>
            <w14:solidFill>
              <w14:schemeClr w14:val="tx1"/>
            </w14:solidFill>
          </w14:textFill>
        </w:rPr>
        <w:t>0551-63539209，举报邮箱：</w:t>
      </w:r>
      <w:r>
        <w:fldChar w:fldCharType="begin"/>
      </w:r>
      <w:r>
        <w:instrText xml:space="preserve"> HYPERLINK "mailto:zt_jcsjb@163.com" </w:instrText>
      </w:r>
      <w:r>
        <w:fldChar w:fldCharType="separate"/>
      </w:r>
      <w:r>
        <w:rPr>
          <w:rFonts w:asciiTheme="minorEastAsia" w:hAnsiTheme="minorEastAsia" w:eastAsiaTheme="minorEastAsia"/>
          <w:color w:val="000000" w:themeColor="text1"/>
          <w:kern w:val="0"/>
          <w:sz w:val="24"/>
          <w:szCs w:val="24"/>
          <w14:textFill>
            <w14:solidFill>
              <w14:schemeClr w14:val="tx1"/>
            </w14:solidFill>
          </w14:textFill>
        </w:rPr>
        <w:t>zt_jcsjb@163.com</w:t>
      </w:r>
      <w:r>
        <w:rPr>
          <w:rFonts w:asciiTheme="minorEastAsia" w:hAnsiTheme="minorEastAsia" w:eastAsiaTheme="minorEastAsia"/>
          <w:color w:val="000000" w:themeColor="text1"/>
          <w:kern w:val="0"/>
          <w:sz w:val="24"/>
          <w:szCs w:val="24"/>
          <w14:textFill>
            <w14:solidFill>
              <w14:schemeClr w14:val="tx1"/>
            </w14:solidFill>
          </w14:textFill>
        </w:rPr>
        <w:fldChar w:fldCharType="end"/>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（二）乙方及其工作人员违反本协议第一、三条规定。根据具体情节和造成的后果，甲方有权依据法律法规及合同约定对乙方采取以下一种或多种处理办法：</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asciiTheme="minorEastAsia" w:hAnsiTheme="minorEastAsia" w:eastAsiaTheme="minorEastAsia"/>
          <w:color w:val="000000" w:themeColor="text1"/>
          <w:kern w:val="0"/>
          <w:sz w:val="24"/>
          <w:szCs w:val="24"/>
          <w14:textFill>
            <w14:solidFill>
              <w14:schemeClr w14:val="tx1"/>
            </w14:solidFill>
          </w14:textFill>
        </w:rPr>
        <w:t>1．向建设行政部门、招投标管理部门及乙方上级主管部门通报，建议</w:t>
      </w:r>
      <w:r>
        <w:rPr>
          <w:rFonts w:hint="eastAsia" w:asciiTheme="minorEastAsia" w:hAnsiTheme="minorEastAsia" w:eastAsiaTheme="minorEastAsia"/>
          <w:color w:val="000000" w:themeColor="text1"/>
          <w:kern w:val="0"/>
          <w:sz w:val="24"/>
          <w:szCs w:val="24"/>
          <w14:textFill>
            <w14:solidFill>
              <w14:schemeClr w14:val="tx1"/>
            </w14:solidFill>
          </w14:textFill>
        </w:rPr>
        <w:t>作出相应处理；</w:t>
      </w:r>
      <w:r>
        <w:rPr>
          <w:rFonts w:asciiTheme="minorEastAsia" w:hAnsiTheme="minorEastAsia" w:eastAsiaTheme="minorEastAsia"/>
          <w:color w:val="000000" w:themeColor="text1"/>
          <w:kern w:val="0"/>
          <w:sz w:val="24"/>
          <w:szCs w:val="24"/>
          <w14:textFill>
            <w14:solidFill>
              <w14:schemeClr w14:val="tx1"/>
            </w14:solidFill>
          </w14:textFill>
        </w:rPr>
        <w:t xml:space="preserve"> </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asciiTheme="minorEastAsia" w:hAnsiTheme="minorEastAsia" w:eastAsiaTheme="minorEastAsia"/>
          <w:color w:val="000000" w:themeColor="text1"/>
          <w:kern w:val="0"/>
          <w:sz w:val="24"/>
          <w:szCs w:val="24"/>
          <w14:textFill>
            <w14:solidFill>
              <w14:schemeClr w14:val="tx1"/>
            </w14:solidFill>
          </w14:textFill>
        </w:rPr>
        <w:t>2．甲方有权扣除乙方履约保证金全部或部分（视情节严重性而定）；</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asciiTheme="minorEastAsia" w:hAnsiTheme="minorEastAsia" w:eastAsiaTheme="minorEastAsia"/>
          <w:color w:val="000000" w:themeColor="text1"/>
          <w:kern w:val="0"/>
          <w:sz w:val="24"/>
          <w:szCs w:val="24"/>
          <w14:textFill>
            <w14:solidFill>
              <w14:schemeClr w14:val="tx1"/>
            </w14:solidFill>
          </w14:textFill>
        </w:rPr>
        <w:t>3．乙方一定期限内（6个月至5年，具体由甲方根据情况而定）不得参与甲方作为发包人（业主）的工程项目投标和物资采购等相关业务；</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asciiTheme="minorEastAsia" w:hAnsiTheme="minorEastAsia" w:eastAsiaTheme="minorEastAsia"/>
          <w:color w:val="000000" w:themeColor="text1"/>
          <w:kern w:val="0"/>
          <w:sz w:val="24"/>
          <w:szCs w:val="24"/>
          <w14:textFill>
            <w14:solidFill>
              <w14:schemeClr w14:val="tx1"/>
            </w14:solidFill>
          </w14:textFill>
        </w:rPr>
        <w:t>4．终止或解除双方已签订的包括（不限于）本合同在内的所有合同。</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甲方作出的处理意见，乙方应无条件接受并承担给甲方造成的损失，全额返还通过不正当手段从甲方获取的非法所得，并承担相应的法律责任。</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第五条</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双方约定</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第六条</w:t>
      </w:r>
      <w:r>
        <w:rPr>
          <w:rFonts w:asciiTheme="minorEastAsia" w:hAnsiTheme="minorEastAsia" w:eastAsiaTheme="minorEastAsia"/>
          <w:color w:val="000000" w:themeColor="text1"/>
          <w:kern w:val="0"/>
          <w:sz w:val="24"/>
          <w:szCs w:val="24"/>
          <w14:textFill>
            <w14:solidFill>
              <w14:schemeClr w14:val="tx1"/>
            </w14:solidFill>
          </w14:textFill>
        </w:rPr>
        <w:t xml:space="preserve">  本协议有效期为甲乙双方签署之日起至合同终止。  </w:t>
      </w:r>
    </w:p>
    <w:p>
      <w:pPr>
        <w:spacing w:line="336" w:lineRule="auto"/>
        <w:ind w:firstLine="480" w:firstLineChars="200"/>
        <w:contextualSpacing/>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第七条</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本协议作为合同的附件，与本合同具有同等法律效力。</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p>
    <w:p>
      <w:pPr>
        <w:spacing w:line="360" w:lineRule="auto"/>
        <w:ind w:firstLine="482"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甲方（盖章）：</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 xml:space="preserve"> </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b/>
          <w:bCs/>
          <w:color w:val="000000" w:themeColor="text1"/>
          <w:kern w:val="0"/>
          <w:sz w:val="24"/>
          <w:szCs w:val="24"/>
          <w14:textFill>
            <w14:solidFill>
              <w14:schemeClr w14:val="tx1"/>
            </w14:solidFill>
          </w14:textFill>
        </w:rPr>
        <w:t>乙方（盖章）：</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法定代表人或</w:t>
      </w:r>
      <w:r>
        <w:rPr>
          <w:rFonts w:asciiTheme="minorEastAsia" w:hAnsiTheme="minorEastAsia" w:eastAsiaTheme="minorEastAsia"/>
          <w:color w:val="000000" w:themeColor="text1"/>
          <w:kern w:val="0"/>
          <w:sz w:val="24"/>
          <w:szCs w:val="24"/>
          <w14:textFill>
            <w14:solidFill>
              <w14:schemeClr w14:val="tx1"/>
            </w14:solidFill>
          </w14:textFill>
        </w:rPr>
        <w:tab/>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 xml:space="preserve"> </w:t>
      </w:r>
      <w:r>
        <w:rPr>
          <w:rFonts w:asciiTheme="minorEastAsia" w:hAnsiTheme="minorEastAsia" w:eastAsiaTheme="minorEastAsia"/>
          <w:color w:val="000000" w:themeColor="text1"/>
          <w:kern w:val="0"/>
          <w:sz w:val="24"/>
          <w:szCs w:val="24"/>
          <w14:textFill>
            <w14:solidFill>
              <w14:schemeClr w14:val="tx1"/>
            </w14:solidFill>
          </w14:textFill>
        </w:rPr>
        <w:t xml:space="preserve">           法定代表人或</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授权代表：</w:t>
      </w:r>
      <w:r>
        <w:rPr>
          <w:rFonts w:asciiTheme="minorEastAsia" w:hAnsiTheme="minorEastAsia" w:eastAsiaTheme="minorEastAsia"/>
          <w:color w:val="000000" w:themeColor="text1"/>
          <w:kern w:val="0"/>
          <w:sz w:val="24"/>
          <w:szCs w:val="24"/>
          <w14:textFill>
            <w14:solidFill>
              <w14:schemeClr w14:val="tx1"/>
            </w14:solidFill>
          </w14:textFill>
        </w:rPr>
        <w:t xml:space="preserve">   (职务)           </w:t>
      </w:r>
      <w:r>
        <w:rPr>
          <w:rFonts w:hint="eastAsia" w:asciiTheme="minorEastAsia" w:hAnsiTheme="minorEastAsia" w:eastAsiaTheme="minorEastAsia"/>
          <w:color w:val="000000" w:themeColor="text1"/>
          <w:kern w:val="0"/>
          <w:sz w:val="24"/>
          <w:szCs w:val="24"/>
          <w14:textFill>
            <w14:solidFill>
              <w14:schemeClr w14:val="tx1"/>
            </w14:solidFill>
          </w14:textFill>
        </w:rPr>
        <w:t xml:space="preserve"> </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授权代表：</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（职务）</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姓名</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asciiTheme="minorEastAsia" w:hAnsiTheme="minorEastAsia" w:eastAsiaTheme="minorEastAsia"/>
          <w:color w:val="000000" w:themeColor="text1"/>
          <w:kern w:val="0"/>
          <w:sz w:val="24"/>
          <w:szCs w:val="24"/>
          <w14:textFill>
            <w14:solidFill>
              <w14:schemeClr w14:val="tx1"/>
            </w14:solidFill>
          </w14:textFill>
        </w:rPr>
        <w:tab/>
      </w:r>
      <w:r>
        <w:rPr>
          <w:rFonts w:asciiTheme="minorEastAsia" w:hAnsiTheme="minorEastAsia" w:eastAsiaTheme="minorEastAsia"/>
          <w:color w:val="000000" w:themeColor="text1"/>
          <w:kern w:val="0"/>
          <w:sz w:val="24"/>
          <w:szCs w:val="24"/>
          <w14:textFill>
            <w14:solidFill>
              <w14:schemeClr w14:val="tx1"/>
            </w14:solidFill>
          </w14:textFill>
        </w:rPr>
        <w:t xml:space="preserve">                                 姓名</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签字：</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 xml:space="preserve"> </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签字：</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p>
    <w:p>
      <w:pPr>
        <w:spacing w:line="360" w:lineRule="auto"/>
        <w:ind w:firstLine="482"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
          <w:bCs/>
          <w:color w:val="000000" w:themeColor="text1"/>
          <w:kern w:val="0"/>
          <w:sz w:val="24"/>
          <w:szCs w:val="24"/>
          <w14:textFill>
            <w14:solidFill>
              <w14:schemeClr w14:val="tx1"/>
            </w14:solidFill>
          </w14:textFill>
        </w:rPr>
        <w:t>廉政监督联系人</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b/>
          <w:bCs/>
          <w:color w:val="000000" w:themeColor="text1"/>
          <w:kern w:val="0"/>
          <w:sz w:val="24"/>
          <w:szCs w:val="24"/>
          <w14:textFill>
            <w14:solidFill>
              <w14:schemeClr w14:val="tx1"/>
            </w14:solidFill>
          </w14:textFill>
        </w:rPr>
        <w:t>廉政监督联系人</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姓名</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姓名</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签字：</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签字：</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电话：</w:t>
      </w:r>
      <w:r>
        <w:rPr>
          <w:rFonts w:asciiTheme="minorEastAsia" w:hAnsiTheme="minorEastAsia" w:eastAsiaTheme="minorEastAsia"/>
          <w:color w:val="000000" w:themeColor="text1"/>
          <w:kern w:val="0"/>
          <w:sz w:val="24"/>
          <w:szCs w:val="24"/>
          <w14:textFill>
            <w14:solidFill>
              <w14:schemeClr w14:val="tx1"/>
            </w14:solidFill>
          </w14:textFill>
        </w:rPr>
        <w:t xml:space="preserve">0551-63539209                         </w:t>
      </w:r>
      <w:r>
        <w:rPr>
          <w:rFonts w:hint="eastAsia" w:asciiTheme="minorEastAsia" w:hAnsiTheme="minorEastAsia" w:eastAsiaTheme="minorEastAsia"/>
          <w:color w:val="000000" w:themeColor="text1"/>
          <w:kern w:val="0"/>
          <w:sz w:val="24"/>
          <w:szCs w:val="24"/>
          <w14:textFill>
            <w14:solidFill>
              <w14:schemeClr w14:val="tx1"/>
            </w14:solidFill>
          </w14:textFill>
        </w:rPr>
        <w:t>电话：</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地址：</w:t>
      </w:r>
      <w:r>
        <w:rPr>
          <w:rFonts w:asciiTheme="minorEastAsia" w:hAnsiTheme="minorEastAsia" w:eastAsiaTheme="minorEastAsia"/>
          <w:color w:val="000000" w:themeColor="text1"/>
          <w:kern w:val="0"/>
          <w:sz w:val="24"/>
          <w:szCs w:val="24"/>
          <w14:textFill>
            <w14:solidFill>
              <w14:schemeClr w14:val="tx1"/>
            </w14:solidFill>
          </w14:textFill>
        </w:rPr>
        <w:t xml:space="preserve">                                      地址：         </w:t>
      </w:r>
    </w:p>
    <w:p>
      <w:pPr>
        <w:spacing w:line="360" w:lineRule="auto"/>
        <w:ind w:firstLine="480" w:firstLineChars="200"/>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t>日期：</w:t>
      </w:r>
      <w:r>
        <w:rPr>
          <w:rFonts w:asciiTheme="minorEastAsia" w:hAnsiTheme="minorEastAsia" w:eastAsia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olor w:val="000000" w:themeColor="text1"/>
          <w:kern w:val="0"/>
          <w:sz w:val="24"/>
          <w:szCs w:val="24"/>
          <w14:textFill>
            <w14:solidFill>
              <w14:schemeClr w14:val="tx1"/>
            </w14:solidFill>
          </w14:textFill>
        </w:rPr>
        <w:t>日期：</w:t>
      </w:r>
    </w:p>
    <w:bookmarkEnd w:id="113"/>
    <w:p>
      <w:pPr>
        <w:spacing w:line="440" w:lineRule="exact"/>
        <w:rPr>
          <w:rFonts w:asciiTheme="minorEastAsia" w:hAnsiTheme="minorEastAsia" w:eastAsiaTheme="minorEastAsia"/>
          <w:color w:val="000000" w:themeColor="text1"/>
          <w:sz w:val="24"/>
          <w:szCs w:val="24"/>
          <w14:textFill>
            <w14:solidFill>
              <w14:schemeClr w14:val="tx1"/>
            </w14:solidFill>
          </w14:textFill>
        </w:rPr>
      </w:pP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p>
    <w:p>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br w:type="page"/>
      </w:r>
    </w:p>
    <w:p>
      <w:pPr>
        <w:spacing w:line="44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附件6：</w:t>
      </w:r>
    </w:p>
    <w:p>
      <w:pPr>
        <w:spacing w:before="120" w:beforeLines="50" w:after="120" w:afterLines="50"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：材料暂估价表</w:t>
      </w:r>
    </w:p>
    <w:tbl>
      <w:tblPr>
        <w:tblStyle w:val="67"/>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984"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名称</w:t>
            </w:r>
          </w:p>
        </w:tc>
        <w:tc>
          <w:tcPr>
            <w:tcW w:w="851"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单位</w:t>
            </w:r>
          </w:p>
        </w:tc>
        <w:tc>
          <w:tcPr>
            <w:tcW w:w="774"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数量</w:t>
            </w:r>
          </w:p>
        </w:tc>
        <w:tc>
          <w:tcPr>
            <w:tcW w:w="1352"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单价（元）</w:t>
            </w:r>
          </w:p>
        </w:tc>
        <w:tc>
          <w:tcPr>
            <w:tcW w:w="1418"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合价（元）</w:t>
            </w:r>
          </w:p>
        </w:tc>
        <w:tc>
          <w:tcPr>
            <w:tcW w:w="1701"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drawing>
                <wp:anchor distT="0" distB="0" distL="114300" distR="114300" simplePos="0" relativeHeight="251659264" behindDoc="1" locked="0" layoutInCell="1" allowOverlap="1">
                  <wp:simplePos x="0" y="0"/>
                  <wp:positionH relativeFrom="column">
                    <wp:posOffset>2016760</wp:posOffset>
                  </wp:positionH>
                  <wp:positionV relativeFrom="paragraph">
                    <wp:posOffset>3454400</wp:posOffset>
                  </wp:positionV>
                  <wp:extent cx="3263900" cy="1346200"/>
                  <wp:effectExtent l="0" t="0" r="0" b="0"/>
                  <wp:wrapNone/>
                  <wp:docPr id="3" name="图片 4" descr="DBSTEP_MARK&#10;FILENAME=1504745767996.doc&#10;MARKNAME=锦天城律师章&#10;USERNAME=许子庆&#10;DATETIME=2017-09-14 08:56:11&#10;MARKGUID={6CDCDD84-A72F-41C7-BE84-C7CC70788A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DBSTEP_MARK&#10;FILENAME=1504745767996.doc&#10;MARKNAME=锦天城律师章&#10;USERNAME=许子庆&#10;DATETIME=2017-09-14 08:56:11&#10;MARKGUID={6CDCDD84-A72F-41C7-BE84-C7CC70788AFD}"/>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a:xfrm>
                            <a:off x="0" y="0"/>
                            <a:ext cx="3263900" cy="1346200"/>
                          </a:xfrm>
                          <a:prstGeom prst="rect">
                            <a:avLst/>
                          </a:prstGeom>
                          <a:noFill/>
                          <a:ln w="9525">
                            <a:noFill/>
                            <a:miter lim="800000"/>
                            <a:headEnd/>
                            <a:tailEnd/>
                          </a:ln>
                        </pic:spPr>
                      </pic:pic>
                    </a:graphicData>
                  </a:graphic>
                </wp:anchor>
              </w:drawing>
            </w:r>
          </w:p>
        </w:tc>
        <w:tc>
          <w:tcPr>
            <w:tcW w:w="170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bl>
    <w:p>
      <w:pPr>
        <w:spacing w:before="120" w:beforeLines="50" w:after="120" w:afterLines="50"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：工程设备暂估价表</w:t>
      </w:r>
    </w:p>
    <w:tbl>
      <w:tblPr>
        <w:tblStyle w:val="67"/>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984"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名称</w:t>
            </w:r>
          </w:p>
        </w:tc>
        <w:tc>
          <w:tcPr>
            <w:tcW w:w="851"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单位</w:t>
            </w:r>
          </w:p>
        </w:tc>
        <w:tc>
          <w:tcPr>
            <w:tcW w:w="774"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数量</w:t>
            </w:r>
          </w:p>
        </w:tc>
        <w:tc>
          <w:tcPr>
            <w:tcW w:w="1352"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单价（元）</w:t>
            </w:r>
          </w:p>
        </w:tc>
        <w:tc>
          <w:tcPr>
            <w:tcW w:w="1418"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合价（元）</w:t>
            </w:r>
          </w:p>
        </w:tc>
        <w:tc>
          <w:tcPr>
            <w:tcW w:w="1701"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bl>
    <w:p>
      <w:pPr>
        <w:spacing w:before="120" w:beforeLines="50" w:after="120" w:afterLines="50" w:line="44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：专业工程暂估价表</w:t>
      </w:r>
    </w:p>
    <w:tbl>
      <w:tblPr>
        <w:tblStyle w:val="67"/>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984"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名称</w:t>
            </w:r>
          </w:p>
        </w:tc>
        <w:tc>
          <w:tcPr>
            <w:tcW w:w="851"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单位</w:t>
            </w:r>
          </w:p>
        </w:tc>
        <w:tc>
          <w:tcPr>
            <w:tcW w:w="774"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数量</w:t>
            </w:r>
          </w:p>
        </w:tc>
        <w:tc>
          <w:tcPr>
            <w:tcW w:w="1352"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单价（元）</w:t>
            </w:r>
          </w:p>
        </w:tc>
        <w:tc>
          <w:tcPr>
            <w:tcW w:w="1418"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合价（元）</w:t>
            </w:r>
          </w:p>
        </w:tc>
        <w:tc>
          <w:tcPr>
            <w:tcW w:w="1701" w:type="dxa"/>
            <w:tcBorders>
              <w:top w:val="single" w:color="auto" w:sz="12" w:space="0"/>
              <w:bottom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tcBorders>
              <w:top w:val="double" w:color="auto" w:sz="6" w:space="0"/>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tcBorders>
              <w:top w:val="nil"/>
            </w:tcBorders>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98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85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774"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352"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418"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c>
          <w:tcPr>
            <w:tcW w:w="1701" w:type="dxa"/>
            <w:noWrap/>
          </w:tcPr>
          <w:p>
            <w:pPr>
              <w:pStyle w:val="25"/>
              <w:keepNext/>
              <w:spacing w:line="440" w:lineRule="exact"/>
              <w:ind w:left="63" w:right="63"/>
              <w:rPr>
                <w:rFonts w:asciiTheme="minorEastAsia" w:hAnsiTheme="minorEastAsia" w:eastAsiaTheme="minorEastAsia"/>
                <w:color w:val="000000" w:themeColor="text1"/>
                <w:sz w:val="24"/>
                <w:szCs w:val="24"/>
                <w14:textFill>
                  <w14:solidFill>
                    <w14:schemeClr w14:val="tx1"/>
                  </w14:solidFill>
                </w14:textFill>
              </w:rPr>
            </w:pPr>
          </w:p>
        </w:tc>
      </w:tr>
    </w:tbl>
    <w:p>
      <w:pPr>
        <w:rPr>
          <w:rFonts w:asciiTheme="minorEastAsia" w:hAnsiTheme="minorEastAsia" w:eastAsiaTheme="minorEastAsia"/>
          <w:color w:val="000000" w:themeColor="text1"/>
          <w:sz w:val="24"/>
          <w:szCs w:val="24"/>
          <w14:textFill>
            <w14:solidFill>
              <w14:schemeClr w14:val="tx1"/>
            </w14:solidFill>
          </w14:textFill>
        </w:rPr>
      </w:pPr>
    </w:p>
    <w:p>
      <w:pPr>
        <w:tabs>
          <w:tab w:val="left" w:pos="4700"/>
        </w:tabs>
        <w:spacing w:before="20" w:after="20"/>
        <w:jc w:val="left"/>
        <w:rPr>
          <w:rFonts w:asciiTheme="minorEastAsia" w:hAnsiTheme="minorEastAsia" w:eastAsiaTheme="minorEastAsia"/>
          <w:color w:val="000000" w:themeColor="text1"/>
          <w:sz w:val="24"/>
          <w:szCs w:val="24"/>
          <w14:textFill>
            <w14:solidFill>
              <w14:schemeClr w14:val="tx1"/>
            </w14:solidFill>
          </w14:textFill>
        </w:rPr>
      </w:pPr>
    </w:p>
    <w:p>
      <w:pPr>
        <w:tabs>
          <w:tab w:val="left" w:pos="4700"/>
        </w:tabs>
        <w:spacing w:before="20" w:after="20"/>
        <w:jc w:val="left"/>
        <w:rPr>
          <w:rFonts w:asciiTheme="minorEastAsia" w:hAnsiTheme="minorEastAsia" w:eastAsiaTheme="minorEastAsia"/>
          <w:color w:val="000000" w:themeColor="text1"/>
          <w:sz w:val="24"/>
          <w:szCs w:val="24"/>
          <w14:textFill>
            <w14:solidFill>
              <w14:schemeClr w14:val="tx1"/>
            </w14:solidFill>
          </w14:textFill>
        </w:rPr>
      </w:pPr>
    </w:p>
    <w:p>
      <w:pPr>
        <w:tabs>
          <w:tab w:val="left" w:pos="4700"/>
        </w:tabs>
        <w:spacing w:before="20" w:after="20"/>
        <w:jc w:val="left"/>
        <w:rPr>
          <w:rFonts w:asciiTheme="minorEastAsia" w:hAnsiTheme="minorEastAsia" w:eastAsiaTheme="minorEastAsia"/>
          <w:color w:val="000000" w:themeColor="text1"/>
          <w:sz w:val="24"/>
          <w:szCs w:val="24"/>
          <w14:textFill>
            <w14:solidFill>
              <w14:schemeClr w14:val="tx1"/>
            </w14:solidFill>
          </w14:textFill>
        </w:rPr>
      </w:pPr>
    </w:p>
    <w:p>
      <w:pPr>
        <w:tabs>
          <w:tab w:val="left" w:pos="4700"/>
        </w:tabs>
        <w:spacing w:before="20" w:after="20"/>
        <w:jc w:val="left"/>
        <w:rPr>
          <w:rFonts w:asciiTheme="minorEastAsia" w:hAnsiTheme="minorEastAsia" w:eastAsiaTheme="minorEastAsia"/>
          <w:color w:val="000000" w:themeColor="text1"/>
          <w:sz w:val="24"/>
          <w:szCs w:val="24"/>
          <w14:textFill>
            <w14:solidFill>
              <w14:schemeClr w14:val="tx1"/>
            </w14:solidFill>
          </w14:textFill>
        </w:rPr>
      </w:pPr>
    </w:p>
    <w:p>
      <w:pPr>
        <w:tabs>
          <w:tab w:val="left" w:pos="4700"/>
        </w:tabs>
        <w:spacing w:before="20" w:after="20"/>
        <w:jc w:val="left"/>
        <w:rPr>
          <w:rFonts w:asciiTheme="minorEastAsia" w:hAnsiTheme="minorEastAsia" w:eastAsiaTheme="minorEastAsia"/>
          <w:color w:val="000000" w:themeColor="text1"/>
          <w:sz w:val="24"/>
          <w:szCs w:val="24"/>
          <w14:textFill>
            <w14:solidFill>
              <w14:schemeClr w14:val="tx1"/>
            </w14:solidFill>
          </w14:textFill>
        </w:rPr>
      </w:pPr>
    </w:p>
    <w:p>
      <w:pPr>
        <w:tabs>
          <w:tab w:val="left" w:pos="4700"/>
        </w:tabs>
        <w:spacing w:before="20" w:after="20"/>
        <w:jc w:val="left"/>
        <w:rPr>
          <w:rFonts w:asciiTheme="minorEastAsia" w:hAnsiTheme="minorEastAsia" w:eastAsiaTheme="minorEastAsia"/>
          <w:color w:val="000000" w:themeColor="text1"/>
          <w:sz w:val="24"/>
          <w:szCs w:val="24"/>
          <w14:textFill>
            <w14:solidFill>
              <w14:schemeClr w14:val="tx1"/>
            </w14:solidFill>
          </w14:textFill>
        </w:rPr>
      </w:pPr>
    </w:p>
    <w:p>
      <w:pPr>
        <w:tabs>
          <w:tab w:val="left" w:pos="4700"/>
        </w:tabs>
        <w:spacing w:before="20" w:after="20"/>
        <w:jc w:val="left"/>
        <w:rPr>
          <w:rFonts w:asciiTheme="minorEastAsia" w:hAnsiTheme="minorEastAsia" w:eastAsiaTheme="minorEastAsia"/>
          <w:color w:val="000000" w:themeColor="text1"/>
          <w:sz w:val="24"/>
          <w:szCs w:val="24"/>
          <w14:textFill>
            <w14:solidFill>
              <w14:schemeClr w14:val="tx1"/>
            </w14:solidFill>
          </w14:textFill>
        </w:rPr>
      </w:pPr>
    </w:p>
    <w:p>
      <w:pPr>
        <w:tabs>
          <w:tab w:val="left" w:pos="4700"/>
        </w:tabs>
        <w:spacing w:before="20" w:after="20"/>
        <w:jc w:val="left"/>
        <w:rPr>
          <w:rFonts w:asciiTheme="minorEastAsia" w:hAnsiTheme="minorEastAsia" w:eastAsiaTheme="minorEastAsia"/>
          <w:color w:val="000000" w:themeColor="text1"/>
          <w:sz w:val="24"/>
          <w:szCs w:val="24"/>
          <w14:textFill>
            <w14:solidFill>
              <w14:schemeClr w14:val="tx1"/>
            </w14:solidFill>
          </w14:textFill>
        </w:rPr>
      </w:pPr>
    </w:p>
    <w:p>
      <w:pPr>
        <w:tabs>
          <w:tab w:val="left" w:pos="4700"/>
        </w:tabs>
        <w:spacing w:before="20" w:after="20"/>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附件7：</w:t>
      </w:r>
    </w:p>
    <w:p>
      <w:pPr>
        <w:tabs>
          <w:tab w:val="left" w:pos="4700"/>
        </w:tabs>
        <w:spacing w:before="20" w:after="20"/>
        <w:ind w:firstLine="488"/>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施工安全协议书</w:t>
      </w:r>
    </w:p>
    <w:p>
      <w:pPr>
        <w:tabs>
          <w:tab w:val="left" w:pos="4700"/>
        </w:tabs>
        <w:spacing w:before="20" w:after="20"/>
        <w:ind w:firstLine="488"/>
        <w:jc w:val="center"/>
        <w:rPr>
          <w:rFonts w:asciiTheme="minorEastAsia" w:hAnsiTheme="minorEastAsia" w:eastAsiaTheme="minorEastAsia"/>
          <w:b/>
          <w:color w:val="000000" w:themeColor="text1"/>
          <w:sz w:val="24"/>
          <w:szCs w:val="24"/>
          <w14:textFill>
            <w14:solidFill>
              <w14:schemeClr w14:val="tx1"/>
            </w14:solidFill>
          </w14:textFill>
        </w:rPr>
      </w:pP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发包人：合肥文旅博览集团有限公司</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承包人： </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工程项目： </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工程地点：合肥市政务新区</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为加强合作意识，明确责任，本着“安全第一，预防为主”的目的，让安全隐患消灭在萌芽中，经甲、乙双方协商，签订如下合同：</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一、双方安全责任：</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1、甲乙双方必须认真贯彻国家和上级劳动保护、安全生产主管部门颁发的有关安全生产、消防工作的方针、政策、严格执行有关劳动保护法规、条例、规定。</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2、甲乙双方都应有安全管理组织体制，包括分管安全生产的领导，各级专职和兼职的安全员；应有各工种的安全操作规程，特种作业工人的审证考核制度及各级安全生产岗位责任制和定期安全检查制度。</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3、甲乙双方的领导必须认真对本单位职工进行安全生产制度及安全技术知识教育，增强法制观念，提高职工的安全生产意识和自我保护能力，督促职工自觉遵守安全纪律、制度法规。</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4、甲乙双方在施工中，应注意地下管线及高低压架空线路的保护。发包人对地下管线和障碍物应详细交底。承包人应贯彻交底要求，如遇有情况，应及时向发包人和有关部门联系，采取保护措施。</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发包人指定的专用间集中使用，发包人应创造条件为承包人使用提供便利。</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7、甲乙双方在生产操作过程中的个人安全防护用品，由各方自理，双方都应督促施工现场人员自觉穿带好安全防护用品。</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二、发包人安全责任：</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1、发包人不得对从事建设活动的勘察、设计、施工、工程监理等单位提出不符合建设工程安全生产法律、法规的要求。</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2、发包人不得暗示或明示承包人使用不符合安全法规要求的机械设备、设施等。</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3、进场施工作业前对承包人项目负责人进行安全事项交底。</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4、指定专人负责监管该项目的安全工作，并配合承包人解决因发包人因素而影响安全施工的问题。</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5、在易燃易爆、带电运行、机械运作的危险区域内作业，事先要求和协助承包人制订安全措施并监督实施。</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6、监督检查承包人的安全施工作业情况，对违法乱纪现象按发包人单位安全检查考核细则规定进行违规执罚。因承包人严重违规施工作业而影响发包人正常生产时，有权停止其施工作业至整改验收合格为止。</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三、承包人安全责任</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安全负责人：姜昌富 </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1、承包人要根据《施工现场安全管理制度》做好各项安全工作</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2、施工前，承包人应组织召开现场安全生产教育会议，并通知发包人委派有关人员出席会议。介绍施工中有关安全防火等规章制度及要求，承包人必须检查、督促施工人员严格遵守、认真执行。</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3、承包人在签订建筑工程施工合同后，应自觉地向暂住地的公安派出机构办理暂住登记手续，并向区（县）城建办（建设局）安监站、劳动局劳动保护检察部门办理施工登记手续。</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承包人的特种作业人员要依照《特种作业人员持证上岗管理制度》做好安全工作。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承包人在施工期间必须严格执行和遵守发包人的安全生产、防火管理的各类规定，接受发包人的督促、检查和指导。同时承包人要保证定期开展对员工的安全活动及安全检查工作。发包人有协助承包人搞好安全生产、防火管理以及督促定期检查的义务，对于查出隐患，承包人必须限制整改。</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在出现安全隐患时，承包人要及时予以排除。贯彻谁施工谁负责安全的原则，承包人人员在施工期间，造成伤亡、火警、火灾、机械等事故（包括由承包人责任造成发包人人员、他方人员、行人伤亡等），发包人有协助紧急抢救伤员的义务，承包人负责事故上报，经济赔偿及善后处理。事故的损失和善后处理费用，应按责任，协商解决。</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7、承包人对工程施工对象的质量安全终身负责，除不可预知或自然灾害发生，承包人要保证建筑不发生倾斜、墙体裂痕、墙皮脱落等质量安全事故发生。</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8、施工中，承包人因操作不当人为造成的事故，由承包人负全责。发包人有权制止承包人的违章指挥和违章作业。承包人如不依照发包人提出的各项安全管理制度具体操作，发包人有权终止合同。</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9、施工中，如因不可预知或自然灾害发生，承包人负责对现场的紧急救险和处理，保护好现场，并立即启动应急预案。</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10、未尽事宜，双方协商解决。</w:t>
      </w: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snapToGrid w:val="0"/>
        <w:spacing w:before="120" w:beforeLines="50" w:after="120" w:afterLines="5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甲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方（公章）：</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乙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方 （公章）：</w:t>
      </w:r>
    </w:p>
    <w:p>
      <w:pPr>
        <w:snapToGrid w:val="0"/>
        <w:spacing w:before="120" w:beforeLines="50" w:after="120" w:afterLines="5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法定代表人（签字）：</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法定代表人（签字）：</w:t>
      </w:r>
    </w:p>
    <w:p>
      <w:pPr>
        <w:snapToGrid w:val="0"/>
        <w:spacing w:before="120" w:beforeLines="50" w:after="120" w:afterLines="50" w:line="360" w:lineRule="auto"/>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年     月    日  </w:t>
      </w:r>
      <w:r>
        <w:rPr>
          <w:rFonts w:hint="eastAsia" w:asciiTheme="minorEastAsia" w:hAnsiTheme="minorEastAsia" w:eastAsiaTheme="minorEastAsia"/>
          <w:color w:val="000000" w:themeColor="text1"/>
          <w:sz w:val="24"/>
          <w:szCs w:val="24"/>
          <w14:textFill>
            <w14:solidFill>
              <w14:schemeClr w14:val="tx1"/>
            </w14:solidFill>
          </w14:textFill>
        </w:rPr>
        <w:tab/>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年     月     日   </w:t>
      </w:r>
    </w:p>
    <w:p>
      <w:pPr>
        <w:widowControl/>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tabs>
          <w:tab w:val="left" w:pos="4700"/>
        </w:tabs>
        <w:spacing w:before="20" w:after="20"/>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附件8：</w:t>
      </w:r>
    </w:p>
    <w:p>
      <w:pPr>
        <w:tabs>
          <w:tab w:val="left" w:pos="4700"/>
        </w:tabs>
        <w:spacing w:before="20" w:after="20"/>
        <w:ind w:firstLine="488"/>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违约处罚标准</w:t>
      </w:r>
    </w:p>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1、施工单位管理体系履责行为违约金支付标准</w:t>
      </w:r>
    </w:p>
    <w:tbl>
      <w:tblPr>
        <w:tblStyle w:val="67"/>
        <w:tblpPr w:leftFromText="180" w:rightFromText="180" w:vertAnchor="text" w:tblpXSpec="center" w:tblpY="1"/>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704"/>
        <w:gridCol w:w="6844"/>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63"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704"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检查项目</w:t>
            </w:r>
          </w:p>
        </w:tc>
        <w:tc>
          <w:tcPr>
            <w:tcW w:w="6844"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检查内容</w:t>
            </w:r>
          </w:p>
        </w:tc>
        <w:tc>
          <w:tcPr>
            <w:tcW w:w="1618"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违约金额（元/条.人.处）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3" w:type="dxa"/>
            <w:vMerge w:val="restart"/>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704"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组织机构</w:t>
            </w: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1.项目经理、设计负责人、技术负责人等人员与投标文件是否相符，是否在岗履责</w:t>
            </w:r>
          </w:p>
        </w:tc>
        <w:tc>
          <w:tcPr>
            <w:tcW w:w="1618" w:type="dxa"/>
            <w:vMerge w:val="restart"/>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按合同文件执行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项目经理等主要管理人员是否擅自变更</w:t>
            </w:r>
          </w:p>
        </w:tc>
        <w:tc>
          <w:tcPr>
            <w:tcW w:w="1618" w:type="dxa"/>
            <w:vMerge w:val="continue"/>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63" w:type="dxa"/>
            <w:vMerge w:val="restart"/>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704"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管理制度</w:t>
            </w: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项目部质量安全体系是否建立健全</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各类规章制度是否建立，是否按行招标人、委托代建人管部门要求设立劳资专管员</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是否按要求参加招标人或其委托代理人月度质量安全通报会</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施工企业是否定期对项目部检查，是否在重大节假日及停复工时期进行检查</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5、是否制定专项应急预案与现场处置方案并按频次进行演练</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6、是否按规定对现场作业人员进行安全教育并完善相关制度</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7、有无企业及项目负责人带班检查项目质量安全隐患制度及记录</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3"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704"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技术准备</w:t>
            </w: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1.是否及时编制实施性的施工组织设计、专项施工方案，临时用电方案并及时报监理单位审核</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2.超过一定规模的危险性较大工程施工方案，是否按规定组织专家论证</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进场机械设备、机具是否按规定报验，大型机械设备（塔吊、人货电梯等）有无经专业机构鉴定并在安监部门验收备案后使用</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特殊工种是否取得特种作业资格证书</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施工前是否对作业班组进行质量安全技术交底</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3" w:type="dxa"/>
            <w:vMerge w:val="continue"/>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是否按规范要求进行施工测量</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3"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704"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合同管理</w:t>
            </w: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总、分包单位是否签订分包合同，合同是否按行业主管部门要求备案</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是否与劳务企业签订劳务协议</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用工单位是否与作业工人签订劳务用工合同；施工单位与银行签订托管协议的，农民工工资发放清单是否经托管银行确认，发放记录是否齐全，是否办理工资卡并对工资发放情况进行公示</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63"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704"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施工过程</w:t>
            </w: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是否按照审批通过的专项方案或专家论证方案施工</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危险性较大分部分项工程现场有无专职安全管理人员监督实施</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是否定期组织开展企业级及项目级质量安全自查活动</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是否配合各类检查</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w:t>
            </w:r>
            <w:r>
              <w:rPr>
                <w:rFonts w:hint="eastAsia" w:asciiTheme="minorEastAsia" w:hAnsiTheme="minorEastAsia" w:eastAsiaTheme="minorEastAsia"/>
                <w:color w:val="000000" w:themeColor="text1"/>
                <w:sz w:val="24"/>
                <w:szCs w:val="24"/>
                <w14:textFill>
                  <w14:solidFill>
                    <w14:schemeClr w14:val="tx1"/>
                  </w14:solidFill>
                </w14:textFill>
              </w:rPr>
              <w:t>是否对检查提出问题能够及时整改，及时回复</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是否有未按设计要求擅自施工的现象</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63"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704" w:type="dxa"/>
            <w:vMerge w:val="restart"/>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内业资料</w:t>
            </w: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质量安全控制管理资料是否与工程实体同步</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质量安全控制管理资料是否真实</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14:textFill>
                  <w14:solidFill>
                    <w14:schemeClr w14:val="tx1"/>
                  </w14:solidFill>
                </w14:textFill>
              </w:rPr>
              <w:t>三级安全教育是否到位，资料是否真实</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4.针对监理通知回复是否及时，记录是否完整</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63"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704" w:type="dxa"/>
            <w:vMerge w:val="continue"/>
            <w:noWrap/>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844" w:type="dxa"/>
            <w:noWrap/>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5.施工日志是否记录完整且具有溯源性</w:t>
            </w:r>
          </w:p>
        </w:tc>
        <w:tc>
          <w:tcPr>
            <w:tcW w:w="1618" w:type="dxa"/>
            <w:noWrap/>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bl>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p>
      <w:pPr>
        <w:numPr>
          <w:ilvl w:val="0"/>
          <w:numId w:val="6"/>
        </w:num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安全文明施工违约金支付标准</w:t>
      </w:r>
    </w:p>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bl>
      <w:tblPr>
        <w:tblStyle w:val="67"/>
        <w:tblW w:w="9625" w:type="dxa"/>
        <w:jc w:val="center"/>
        <w:tblLayout w:type="fixed"/>
        <w:tblCellMar>
          <w:top w:w="0" w:type="dxa"/>
          <w:left w:w="108" w:type="dxa"/>
          <w:bottom w:w="0" w:type="dxa"/>
          <w:right w:w="108" w:type="dxa"/>
        </w:tblCellMar>
      </w:tblPr>
      <w:tblGrid>
        <w:gridCol w:w="456"/>
        <w:gridCol w:w="501"/>
        <w:gridCol w:w="816"/>
        <w:gridCol w:w="6635"/>
        <w:gridCol w:w="1217"/>
      </w:tblGrid>
      <w:tr>
        <w:tblPrEx>
          <w:tblCellMar>
            <w:top w:w="0" w:type="dxa"/>
            <w:left w:w="108" w:type="dxa"/>
            <w:bottom w:w="0" w:type="dxa"/>
            <w:right w:w="108" w:type="dxa"/>
          </w:tblCellMar>
        </w:tblPrEx>
        <w:trPr>
          <w:trHeight w:val="627"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317"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检查项目</w:t>
            </w:r>
          </w:p>
        </w:tc>
        <w:tc>
          <w:tcPr>
            <w:tcW w:w="663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检查内容</w:t>
            </w:r>
          </w:p>
        </w:tc>
        <w:tc>
          <w:tcPr>
            <w:tcW w:w="1217" w:type="dxa"/>
            <w:vMerge w:val="restart"/>
            <w:tcBorders>
              <w:top w:val="single" w:color="auto" w:sz="4" w:space="0"/>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违约金额</w:t>
            </w:r>
            <w:r>
              <w:rPr>
                <w:rFonts w:hint="eastAsia" w:asciiTheme="minorEastAsia" w:hAnsiTheme="minorEastAsia" w:eastAsia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olor w:val="000000" w:themeColor="text1"/>
                <w:sz w:val="24"/>
                <w:szCs w:val="24"/>
                <w14:textFill>
                  <w14:solidFill>
                    <w14:schemeClr w14:val="tx1"/>
                  </w14:solidFill>
                </w14:textFill>
              </w:rPr>
              <w:t>（元</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条</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人</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处）</w:t>
            </w:r>
          </w:p>
        </w:tc>
      </w:tr>
      <w:tr>
        <w:tblPrEx>
          <w:tblCellMar>
            <w:top w:w="0" w:type="dxa"/>
            <w:left w:w="108" w:type="dxa"/>
            <w:bottom w:w="0" w:type="dxa"/>
            <w:right w:w="108" w:type="dxa"/>
          </w:tblCellMar>
        </w:tblPrEx>
        <w:trPr>
          <w:trHeight w:val="627"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317"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6635"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p>
        </w:tc>
        <w:tc>
          <w:tcPr>
            <w:tcW w:w="1217" w:type="dxa"/>
            <w:vMerge w:val="continue"/>
            <w:tcBorders>
              <w:top w:val="single" w:color="auto" w:sz="4" w:space="0"/>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456"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501"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现场环境</w:t>
            </w: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封闭施工</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施工区是否按要求设置围挡，围挡高度是否满足要求</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660" w:hRule="atLeast"/>
          <w:jc w:val="center"/>
        </w:trPr>
        <w:tc>
          <w:tcPr>
            <w:tcW w:w="456"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标志标牌</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施工出入口门楼、</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五牌一图</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是否按规范要求设置；重大危险源、危险区域是否设置安全警示标志、标牌</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540" w:hRule="atLeast"/>
          <w:jc w:val="center"/>
        </w:trPr>
        <w:tc>
          <w:tcPr>
            <w:tcW w:w="456"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三区</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设置</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办公区、生活区与作业区是否按规范设置；厨卫等后勤人员是否持证上岗</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1140" w:hRule="atLeast"/>
          <w:jc w:val="center"/>
        </w:trPr>
        <w:tc>
          <w:tcPr>
            <w:tcW w:w="456"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现场扬尘</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设置或采取冲洗等避免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2000</w:t>
            </w:r>
          </w:p>
        </w:tc>
      </w:tr>
      <w:tr>
        <w:tblPrEx>
          <w:tblCellMar>
            <w:top w:w="0" w:type="dxa"/>
            <w:left w:w="108" w:type="dxa"/>
            <w:bottom w:w="0" w:type="dxa"/>
            <w:right w:w="108" w:type="dxa"/>
          </w:tblCellMar>
        </w:tblPrEx>
        <w:trPr>
          <w:trHeight w:val="375" w:hRule="atLeast"/>
          <w:jc w:val="center"/>
        </w:trPr>
        <w:tc>
          <w:tcPr>
            <w:tcW w:w="456"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000000"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污染排放</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场内废水、废气排放是否达标、是否焚烧有毒有害物质</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75" w:hRule="atLeast"/>
          <w:jc w:val="center"/>
        </w:trPr>
        <w:tc>
          <w:tcPr>
            <w:tcW w:w="456"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材料堆放</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现场材料是否码放整齐；是否标明名称、规格；是否采取防火、防锈蚀、防雨等措施</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570" w:hRule="atLeast"/>
          <w:jc w:val="center"/>
        </w:trPr>
        <w:tc>
          <w:tcPr>
            <w:tcW w:w="456"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防护用品</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防护用品是否有质量保证，是否分发到作业人员并正确使用</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570" w:hRule="atLeast"/>
          <w:jc w:val="center"/>
        </w:trPr>
        <w:tc>
          <w:tcPr>
            <w:tcW w:w="456"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危险作业</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六级以上强风、浓雾等恶劣天气，是否进行高空作业</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510" w:hRule="atLeast"/>
          <w:jc w:val="center"/>
        </w:trPr>
        <w:tc>
          <w:tcPr>
            <w:tcW w:w="456"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p>
        </w:tc>
        <w:tc>
          <w:tcPr>
            <w:tcW w:w="501"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安全防护</w:t>
            </w: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安全帽、安全带</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是否正确使用配戴安全帽、安全带</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570" w:hRule="atLeast"/>
          <w:jc w:val="center"/>
        </w:trPr>
        <w:tc>
          <w:tcPr>
            <w:tcW w:w="456"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安全设施</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楼梯、上下斜道、安全通道搭设是否符合规范及使用安全要求；通道口、钢筋加工场地等防护棚搭设是否符合规范及安全要求</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660"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其他安全措施</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是否有可靠接地、防雷措施；是否有上下垂直立体交叉作业情况；是否有专人看守，设置警戒区域，防拆架时坠物伤人措施</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1020" w:hRule="atLeast"/>
          <w:jc w:val="center"/>
        </w:trPr>
        <w:tc>
          <w:tcPr>
            <w:tcW w:w="456"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501"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临时用电</w:t>
            </w: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接零保护及配电保护系统</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施工现场是否采用</w:t>
            </w:r>
            <w:r>
              <w:rPr>
                <w:rFonts w:asciiTheme="minorEastAsia" w:hAnsiTheme="minorEastAsia" w:eastAsiaTheme="minorEastAsia"/>
                <w:color w:val="000000" w:themeColor="text1"/>
                <w:sz w:val="24"/>
                <w:szCs w:val="24"/>
                <w14:textFill>
                  <w14:solidFill>
                    <w14:schemeClr w14:val="tx1"/>
                  </w14:solidFill>
                </w14:textFill>
              </w:rPr>
              <w:t>TN-S</w:t>
            </w:r>
            <w:r>
              <w:rPr>
                <w:rFonts w:hint="eastAsia" w:asciiTheme="minorEastAsia" w:hAnsiTheme="minorEastAsia" w:eastAsiaTheme="minorEastAsia"/>
                <w:color w:val="000000" w:themeColor="text1"/>
                <w:sz w:val="24"/>
                <w:szCs w:val="24"/>
                <w14:textFill>
                  <w14:solidFill>
                    <w14:schemeClr w14:val="tx1"/>
                  </w14:solidFill>
                </w14:textFill>
              </w:rPr>
              <w:t>接零保护系统；接地、防雷、保护接零、接地与接地电阻是否符合规范要求</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675"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三级配电、两级漏电保护系统</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是否采用三级配电、两级漏电保护系统；配电室及总配电箱，总、分配电箱和开关箱的安装及维护是否符合规范要求；是否违反</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一机、一闸、一漏、一箱、一锁</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；每台用电设备是否有专用开关箱，是否有</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一闸多用</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现象</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1020"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配电线路</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电缆芯线是否根据用电设备的负荷及相数、线数确定；电缆线路的架空或埋地敷设是否符合规范要求；室内配线及用电是否符合规范要求</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720"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自备电源</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发电机组使用及维护是否符合规范要求</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435"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安全电压及照明</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特殊场所是否按照规范要求合理使用安全特低电压照明；夜间影响飞机和车辆通行的在建工程及机械设备是否按照规范要求设置红色信号灯及应急自备电源措施</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765"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用电设备</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手持电动工具、水泵、交流电焊机、施工升降机、塔式起重机等用电机具、机械是否按照规范要求用电；是否存在手动双向转换开关作为控制电器</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450"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带电作业</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带电作业是否实施有效防护</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435"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违章作业</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非电工接电作业</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750"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办公、生活用电</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办公、生活用房和职工宿舍是否在进线处按照规范要求安装电源箱、漏电保护器和限流保护器</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1050" w:hRule="atLeast"/>
          <w:jc w:val="center"/>
        </w:trPr>
        <w:tc>
          <w:tcPr>
            <w:tcW w:w="456"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501"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起重机械吊装</w:t>
            </w: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相关单位</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租赁</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提供</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单位是否有相关资质或安全生产许可证，是否登记备案；检验检测机构是否具有相应资质，安装安全技术交底是否到位，特种作业持作工证件是否齐全</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1590"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检查验收</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含基础螺栓），是否准确接地；主电缆保护是否合理</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1050"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起重作业</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起重过程中是否有专人指挥，是否信号不明；起重机架梁时作业半径和高度范围内是否有障碍物；吊钩、吊具是否符合规范要求，现场是否存在混吊，作业人员是否持证上岗</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615"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安全防护</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安全限位及保险装置是否损坏或失效；操作范围是否设置警示标志，基础防护是否齐全到位</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630" w:hRule="atLeast"/>
          <w:jc w:val="center"/>
        </w:trPr>
        <w:tc>
          <w:tcPr>
            <w:tcW w:w="456"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501"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现场消防</w:t>
            </w: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基本要求</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是否设置消防通道、消防水源；配备的灭火器材数量是否满足规范要求，是否欠压失效</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5"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禁用设备</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临时住房内是否使用电炉、碘钨灯、热得快等大功率用电设备，是否安装限流器</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599" w:hRule="atLeast"/>
          <w:jc w:val="center"/>
        </w:trPr>
        <w:tc>
          <w:tcPr>
            <w:tcW w:w="456"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动火作业</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动火作业前是否履行报批手续</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5" w:hRule="atLeast"/>
          <w:jc w:val="center"/>
        </w:trPr>
        <w:tc>
          <w:tcPr>
            <w:tcW w:w="456"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气瓶</w:t>
            </w:r>
          </w:p>
        </w:tc>
        <w:tc>
          <w:tcPr>
            <w:tcW w:w="6635" w:type="dxa"/>
            <w:tcBorders>
              <w:top w:val="nil"/>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氧气、乙炔等气瓶使用是否符合规范要求，乙炔瓶是否安装回火防止器</w:t>
            </w:r>
          </w:p>
        </w:tc>
        <w:tc>
          <w:tcPr>
            <w:tcW w:w="1217"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510"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50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施工机具</w:t>
            </w: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验收程序 </w:t>
            </w:r>
          </w:p>
        </w:tc>
        <w:tc>
          <w:tcPr>
            <w:tcW w:w="6635"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各施工机具在安装完毕后是否按规定履行验收程序，并经责任人签字确认</w:t>
            </w:r>
          </w:p>
        </w:tc>
        <w:tc>
          <w:tcPr>
            <w:tcW w:w="1217"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480"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安全使用 </w:t>
            </w:r>
          </w:p>
        </w:tc>
        <w:tc>
          <w:tcPr>
            <w:tcW w:w="6635"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各类施工机具在使用中是否按照规范要求做好安全防护措施</w:t>
            </w:r>
          </w:p>
        </w:tc>
        <w:tc>
          <w:tcPr>
            <w:tcW w:w="1217"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495"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顶进设备 </w:t>
            </w:r>
          </w:p>
        </w:tc>
        <w:tc>
          <w:tcPr>
            <w:tcW w:w="6635"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油泵与千斤顶性能是否匹配，压力表是否完好有效</w:t>
            </w:r>
          </w:p>
        </w:tc>
        <w:tc>
          <w:tcPr>
            <w:tcW w:w="1217"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15"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50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夜间施工</w:t>
            </w:r>
          </w:p>
        </w:tc>
        <w:tc>
          <w:tcPr>
            <w:tcW w:w="816"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施工审批 </w:t>
            </w:r>
          </w:p>
        </w:tc>
        <w:tc>
          <w:tcPr>
            <w:tcW w:w="6635"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是否擅自进行夜间施工</w:t>
            </w:r>
          </w:p>
        </w:tc>
        <w:tc>
          <w:tcPr>
            <w:tcW w:w="1217" w:type="dxa"/>
            <w:tcBorders>
              <w:top w:val="single" w:color="auto" w:sz="4" w:space="0"/>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15"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专项方案 </w:t>
            </w:r>
          </w:p>
        </w:tc>
        <w:tc>
          <w:tcPr>
            <w:tcW w:w="66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是否按要求编制夜间专项施工方案，并按规定审批</w:t>
            </w:r>
          </w:p>
        </w:tc>
        <w:tc>
          <w:tcPr>
            <w:tcW w:w="121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465"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过程管理 </w:t>
            </w:r>
          </w:p>
        </w:tc>
        <w:tc>
          <w:tcPr>
            <w:tcW w:w="66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管理人员是否在岗履责</w:t>
            </w:r>
          </w:p>
        </w:tc>
        <w:tc>
          <w:tcPr>
            <w:tcW w:w="121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570"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50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施工照明</w:t>
            </w:r>
          </w:p>
        </w:tc>
        <w:tc>
          <w:tcPr>
            <w:tcW w:w="66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施工工点是否有充足的照明，照明是否符合规范要求，特殊环境是否采用相应电压设备照明，灯具安装高度是否满足要求，管理人员是否在岗，夜间浇砼监理人员是否旁站。</w:t>
            </w:r>
          </w:p>
        </w:tc>
        <w:tc>
          <w:tcPr>
            <w:tcW w:w="121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bl>
    <w:p>
      <w:pPr>
        <w:snapToGrid w:val="0"/>
        <w:spacing w:line="32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3、建筑工程施工质量违约金支付标准</w:t>
      </w:r>
    </w:p>
    <w:tbl>
      <w:tblPr>
        <w:tblStyle w:val="67"/>
        <w:tblW w:w="9625" w:type="dxa"/>
        <w:jc w:val="center"/>
        <w:tblLayout w:type="fixed"/>
        <w:tblCellMar>
          <w:top w:w="0" w:type="dxa"/>
          <w:left w:w="108" w:type="dxa"/>
          <w:bottom w:w="0" w:type="dxa"/>
          <w:right w:w="108" w:type="dxa"/>
        </w:tblCellMar>
      </w:tblPr>
      <w:tblGrid>
        <w:gridCol w:w="488"/>
        <w:gridCol w:w="511"/>
        <w:gridCol w:w="1053"/>
        <w:gridCol w:w="6143"/>
        <w:gridCol w:w="1430"/>
      </w:tblGrid>
      <w:tr>
        <w:tblPrEx>
          <w:tblCellMar>
            <w:top w:w="0" w:type="dxa"/>
            <w:left w:w="108" w:type="dxa"/>
            <w:bottom w:w="0" w:type="dxa"/>
            <w:right w:w="108" w:type="dxa"/>
          </w:tblCellMar>
        </w:tblPrEx>
        <w:trPr>
          <w:trHeight w:val="645" w:hRule="atLeast"/>
          <w:jc w:val="center"/>
        </w:trPr>
        <w:tc>
          <w:tcPr>
            <w:tcW w:w="48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564"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检查项目</w:t>
            </w:r>
          </w:p>
        </w:tc>
        <w:tc>
          <w:tcPr>
            <w:tcW w:w="61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检查内容</w:t>
            </w:r>
          </w:p>
        </w:tc>
        <w:tc>
          <w:tcPr>
            <w:tcW w:w="1430" w:type="dxa"/>
            <w:vMerge w:val="restart"/>
            <w:tcBorders>
              <w:top w:val="single" w:color="auto" w:sz="4" w:space="0"/>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违约金额</w:t>
            </w: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（元</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条</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人</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处）</w:t>
            </w:r>
          </w:p>
        </w:tc>
      </w:tr>
      <w:tr>
        <w:tblPrEx>
          <w:tblCellMar>
            <w:top w:w="0" w:type="dxa"/>
            <w:left w:w="108" w:type="dxa"/>
            <w:bottom w:w="0" w:type="dxa"/>
            <w:right w:w="108" w:type="dxa"/>
          </w:tblCellMar>
        </w:tblPrEx>
        <w:trPr>
          <w:trHeight w:val="320" w:hRule="atLeast"/>
          <w:jc w:val="center"/>
        </w:trPr>
        <w:tc>
          <w:tcPr>
            <w:tcW w:w="488"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1564"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1430" w:type="dxa"/>
            <w:vMerge w:val="continue"/>
            <w:tcBorders>
              <w:top w:val="single" w:color="auto" w:sz="4" w:space="0"/>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42" w:hRule="atLeast"/>
          <w:jc w:val="center"/>
        </w:trPr>
        <w:tc>
          <w:tcPr>
            <w:tcW w:w="488" w:type="dxa"/>
            <w:vMerge w:val="restart"/>
            <w:tcBorders>
              <w:top w:val="nil"/>
              <w:left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511" w:type="dxa"/>
            <w:vMerge w:val="restart"/>
            <w:tcBorders>
              <w:top w:val="nil"/>
              <w:left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主体结 构</w:t>
            </w:r>
          </w:p>
        </w:tc>
        <w:tc>
          <w:tcPr>
            <w:tcW w:w="1053" w:type="dxa"/>
            <w:vMerge w:val="restart"/>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砌体结构</w:t>
            </w: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砌体结构原材及相关材料是否符合要求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42" w:hRule="atLeast"/>
          <w:jc w:val="center"/>
        </w:trPr>
        <w:tc>
          <w:tcPr>
            <w:tcW w:w="488" w:type="dxa"/>
            <w:vMerge w:val="continue"/>
            <w:tcBorders>
              <w:left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left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砌筑现场是否使用预拌砂浆</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00" w:hRule="atLeast"/>
          <w:jc w:val="center"/>
        </w:trPr>
        <w:tc>
          <w:tcPr>
            <w:tcW w:w="488" w:type="dxa"/>
            <w:vMerge w:val="continue"/>
            <w:tcBorders>
              <w:left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left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墙体砌筑施工方法及相关构造要求是否符合规范及设计要求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60" w:hRule="atLeast"/>
          <w:jc w:val="center"/>
        </w:trPr>
        <w:tc>
          <w:tcPr>
            <w:tcW w:w="488" w:type="dxa"/>
            <w:vMerge w:val="continue"/>
            <w:tcBorders>
              <w:left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left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砌体一般尺寸偏差是否符合规范及设计要求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945" w:hRule="atLeast"/>
          <w:jc w:val="center"/>
        </w:trPr>
        <w:tc>
          <w:tcPr>
            <w:tcW w:w="488" w:type="dxa"/>
            <w:vMerge w:val="continue"/>
            <w:tcBorders>
              <w:left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left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次结构钢筋是否预留，预留位置及数量是否满足设计文件和规范要求，钢筋连接、过梁两端搁置长度、窗台压顶两端锚入墙体长度是否满足规范标准，过梁压顶厚度是否符合要求，二次结构砼是否存在松散，露筋现象</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00" w:hRule="atLeast"/>
          <w:jc w:val="center"/>
        </w:trPr>
        <w:tc>
          <w:tcPr>
            <w:tcW w:w="488" w:type="dxa"/>
            <w:vMerge w:val="continue"/>
            <w:tcBorders>
              <w:left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left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钢结构</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钢材、钢铸件及相关构件是否在采购规定范围内,是否符合规范及设计要求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00" w:hRule="atLeast"/>
          <w:jc w:val="center"/>
        </w:trPr>
        <w:tc>
          <w:tcPr>
            <w:tcW w:w="488" w:type="dxa"/>
            <w:vMerge w:val="continue"/>
            <w:tcBorders>
              <w:left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left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钢结构焊接及连接是否符合规范及设计要求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00" w:hRule="atLeast"/>
          <w:jc w:val="center"/>
        </w:trPr>
        <w:tc>
          <w:tcPr>
            <w:tcW w:w="488" w:type="dxa"/>
            <w:vMerge w:val="continue"/>
            <w:tcBorders>
              <w:left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left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钢零件及钢部件加工是否符合规范及设计要求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00" w:hRule="atLeast"/>
          <w:jc w:val="center"/>
        </w:trPr>
        <w:tc>
          <w:tcPr>
            <w:tcW w:w="488" w:type="dxa"/>
            <w:vMerge w:val="continue"/>
            <w:tcBorders>
              <w:left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left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钢构件组装、预拼装是否符合规范及设计要求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00" w:hRule="atLeast"/>
          <w:jc w:val="center"/>
        </w:trPr>
        <w:tc>
          <w:tcPr>
            <w:tcW w:w="488" w:type="dxa"/>
            <w:vMerge w:val="continue"/>
            <w:tcBorders>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钢结构涂装工程是否符合规范及设计要求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00" w:hRule="atLeast"/>
          <w:jc w:val="center"/>
        </w:trPr>
        <w:tc>
          <w:tcPr>
            <w:tcW w:w="488"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511" w:type="dxa"/>
            <w:vMerge w:val="restart"/>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建筑装饰</w:t>
            </w:r>
            <w:r>
              <w:rPr>
                <w:rFonts w:hint="eastAsia" w:asciiTheme="minorEastAsia" w:hAnsiTheme="minorEastAsia" w:eastAsia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olor w:val="000000" w:themeColor="text1"/>
                <w:sz w:val="24"/>
                <w:szCs w:val="24"/>
                <w14:textFill>
                  <w14:solidFill>
                    <w14:schemeClr w14:val="tx1"/>
                  </w14:solidFill>
                </w14:textFill>
              </w:rPr>
              <w:t>装修</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地面、墙面</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地面、墙面面层与基层粘结是否牢固，是否存在空鼓面积超过规范要求的现象</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地面、墙面是否存在开裂、渗水、起砂等现象</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抹灰</w:t>
            </w: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原材料是否符合规范及设计要求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抹灰工程施工方法是否符合规范及设计要求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不同材料交界面抹灰时是否张贴加强网，加强网搭接及宽度是否符合规范要求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抹灰表面允许偏差是否超出规范要求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分格缝设置是否符合规范要求，细部处理是否到位</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435"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有排水要求的部位是否按规范及设计要求设置滴水（槽）</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48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各抹灰层之间及抹灰层与基底之间是否存在脱层、空鼓、裂缝、色差等现象</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9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restart"/>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门窗</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门窗品牌是否在采购范围内，规格、型号是否符合规范以及设计要求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是否对门窗及相应材料进行性能指标复验，复验是否合格</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门窗洞口预留尺寸是否符合图纸设计及规范要求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门窗安装施工顺序及安装方法是否符合规范要求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门窗与墙体间隙之间是否填嵌密实，塑料门窗填缝是否采用密闭胶封闭</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585"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门窗安装开启是否灵活，是否安装防碰撞块，玻璃安装方法是否符合设计及规范要求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门窗淋水试验是否满足规范要求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特种门的安装方法是否符合规范及设计要求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吊顶</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吊顶及相关构配件是否符合规范及设计要求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吊杆、龙骨的材质、规格、安装间距及连接方式是否符合相关规范及设计要求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吊顶工程中相关构配件是否按照规范及设计要求进行防火、防腐、防锈处理</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饰面板（砖）</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饰面板（砖）品牌是否在采购规定范围内</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饰面板（砖）的规格、颜色和性能是否符合规范及设计要求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645"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饰面板安装工程的预埋件、连接件的数量、规格、位置、连接方法、防腐处理是否符合设计及规范要求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66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饰面板（砖）安装是否牢固、是否存在空鼓面积超出规范要求，砖缝留置是否均匀</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495"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饰面板（砖）表面是否存在色差、裂缝</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495"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有排水要求的部位是否设置滴水线（槽），泛水坡度是否符合设计要求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涂饰</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涂饰材料是否在采购规定范围内</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进行涂饰前是否涂刷抗碱封闭底漆</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基层腻子是否存在不平整、风化、起皮、脱落等现象</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500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厨房、卫生间墙面是否使用耐水腻子</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0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涂料面层是否有风化、脱落、裂缝、色差等现象</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restart"/>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511" w:type="dxa"/>
            <w:vMerge w:val="restart"/>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安装工程</w:t>
            </w:r>
          </w:p>
        </w:tc>
        <w:tc>
          <w:tcPr>
            <w:tcW w:w="1053" w:type="dxa"/>
            <w:vMerge w:val="restart"/>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建筑给水、排水</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给水管道原材及配件是否与招标文件及设计要求相符</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室内给水管道试压是否符合规范及设计要求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给水管道安装与连接是否符合规范及设计要求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隐蔽或埋地排水管道是否在隐蔽前做灌水试验</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排水塑料管道在楼板下是否设防火圈或防火套管</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消防水管保温施工是否符合规范及设计要求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自动喷水灭火系统安装是否符合规范及设计要求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消防给水池、消防水箱、消防水泵等防火设备安装是否符合规范及设计要求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室内消火栓系统及相关构件安装是否符合规范及设计要求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气体灭火系统及配件安装是否满足规范及设计要求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通风与空调</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空调及相关配件是否在采购规定范围内</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8000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风管原材及配件是否满足规范及设计要求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防火风管的本体、框架与固定材料、密封垫料是否为不燃材料</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8000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风管制作、安装是否符合设计及规范要求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镀锌钢板及各类有保护层的钢板、法兰连接方法是否符合规范要求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防火卷帘安装是否符合规范及设计要求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通风设备安装是否符合规范及设计要求，通风系统试验是否符合规范及设计要求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restart"/>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建筑电气</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电线、电缆等材料是否在采购规定范围内</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8000</w:t>
            </w:r>
          </w:p>
        </w:tc>
      </w:tr>
      <w:tr>
        <w:tblPrEx>
          <w:tblCellMar>
            <w:top w:w="0" w:type="dxa"/>
            <w:left w:w="108" w:type="dxa"/>
            <w:bottom w:w="0" w:type="dxa"/>
            <w:right w:w="108" w:type="dxa"/>
          </w:tblCellMar>
        </w:tblPrEx>
        <w:trPr>
          <w:trHeight w:val="330"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主要设备、材料、成品及半成品是否与招标文件和设计要求相符</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8000</w:t>
            </w:r>
          </w:p>
        </w:tc>
      </w:tr>
      <w:tr>
        <w:tblPrEx>
          <w:tblCellMar>
            <w:top w:w="0" w:type="dxa"/>
            <w:left w:w="108" w:type="dxa"/>
            <w:bottom w:w="0" w:type="dxa"/>
            <w:right w:w="108" w:type="dxa"/>
          </w:tblCellMar>
        </w:tblPrEx>
        <w:trPr>
          <w:trHeight w:val="319"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电缆、电线穿管的安装是否符合规范及设计要求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19"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电气设备安装是否符合规范及设计要求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19"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接地线互相连接方式是否符合规范及设计要求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19"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金属电缆桥架、线槽等部位是否进行接地连接</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19"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电缆桥架安装、铺设是否符合要求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19"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穿越不同防火分区的桥架是否进行防火分隔</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19"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室外埋地电缆导管埋深是否符合规范及设计要求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插座接线、安装高度是否符合要求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插座是否符合规范及设计要求、盖板是否固定牢固</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电线是否按规范要求进行复试合格</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避雷装置是否满足要求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火灾自动报警系统及相关配件安装是否符合规范及设计要求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火灾应急照明灯安装是否符合规范及设计要求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照明开关安装位置是否符合规范及设计要求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人防工程中所涉及的密闭穿墙短管的制作及安装是否符合规范及设计要求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电气系统试验是否符合规范及设计要求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restart"/>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卫生器具安装</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卫生洁具品牌及相关配件是否在采购范围内</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卫生器具及配件是否符合规范及设计要求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372"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卫生器具安装是否符合规范及设计标准</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与排水横管连接的各卫生器具的受水口和立管是够采取可靠的固定措施</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000000"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000000"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000000" w:sz="4" w:space="0"/>
              <w:right w:val="single" w:color="000000"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管道与楼板的结合部位是否有渗漏</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289" w:hRule="atLeast"/>
          <w:jc w:val="center"/>
        </w:trPr>
        <w:tc>
          <w:tcPr>
            <w:tcW w:w="488" w:type="dxa"/>
            <w:vMerge w:val="restart"/>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511" w:type="dxa"/>
            <w:vMerge w:val="restart"/>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建筑节能</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墙体、屋面、门窗、地面节能工程</w:t>
            </w: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建筑节能材料是否在采购规定范围内</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建筑节能工程施工前是否进行样板制作、样板复试是否合格</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建筑节能材料是否符合规范及设计要求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保温材料的厚度是否符合设计要求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建筑节能施工方法是否满足规范就设计要求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建筑节能材料采用预埋或后置锚固件固定时，是否符合规范及设计要求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建筑节能的板缝处理、构造节点及嵌缝做法等细部构造是否符合设计及规范要求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热桥部位是否按设计要求采取隔断热桥措施</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消防水管保温施工是否符合规范及设计要求</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r>
        <w:tblPrEx>
          <w:tblCellMar>
            <w:top w:w="0" w:type="dxa"/>
            <w:left w:w="108" w:type="dxa"/>
            <w:bottom w:w="0" w:type="dxa"/>
            <w:right w:w="108" w:type="dxa"/>
          </w:tblCellMar>
        </w:tblPrEx>
        <w:trPr>
          <w:trHeight w:val="289" w:hRule="atLeast"/>
          <w:jc w:val="center"/>
        </w:trPr>
        <w:tc>
          <w:tcPr>
            <w:tcW w:w="488" w:type="dxa"/>
            <w:vMerge w:val="continue"/>
            <w:tcBorders>
              <w:top w:val="nil"/>
              <w:left w:val="single" w:color="auto" w:sz="4" w:space="0"/>
              <w:bottom w:val="single" w:color="auto" w:sz="4" w:space="0"/>
              <w:right w:val="single" w:color="auto" w:sz="4" w:space="0"/>
            </w:tcBorders>
            <w:vAlign w:val="center"/>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p>
        </w:tc>
        <w:tc>
          <w:tcPr>
            <w:tcW w:w="511" w:type="dxa"/>
            <w:vMerge w:val="continue"/>
            <w:tcBorders>
              <w:top w:val="nil"/>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Theme="minorEastAsia" w:hAnsiTheme="minorEastAsia" w:eastAsiaTheme="minorEastAsia"/>
                <w:color w:val="000000" w:themeColor="text1"/>
                <w:sz w:val="24"/>
                <w:szCs w:val="24"/>
                <w14:textFill>
                  <w14:solidFill>
                    <w14:schemeClr w14:val="tx1"/>
                  </w14:solidFill>
                </w14:textFill>
              </w:rPr>
            </w:pPr>
          </w:p>
        </w:tc>
        <w:tc>
          <w:tcPr>
            <w:tcW w:w="6143" w:type="dxa"/>
            <w:tcBorders>
              <w:top w:val="single" w:color="auto" w:sz="4" w:space="0"/>
              <w:left w:val="nil"/>
              <w:bottom w:val="single" w:color="auto" w:sz="4" w:space="0"/>
              <w:right w:val="single" w:color="auto" w:sz="4" w:space="0"/>
            </w:tcBorders>
            <w:vAlign w:val="bottom"/>
          </w:tcPr>
          <w:p>
            <w:pPr>
              <w:snapToGrid w:val="0"/>
              <w:spacing w:line="32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表层砂浆抹压是否密实</w:t>
            </w:r>
          </w:p>
        </w:tc>
        <w:tc>
          <w:tcPr>
            <w:tcW w:w="1430" w:type="dxa"/>
            <w:tcBorders>
              <w:top w:val="nil"/>
              <w:left w:val="nil"/>
              <w:bottom w:val="single" w:color="auto" w:sz="4" w:space="0"/>
              <w:right w:val="single" w:color="auto" w:sz="4" w:space="0"/>
            </w:tcBorders>
            <w:vAlign w:val="center"/>
          </w:tcPr>
          <w:p>
            <w:pPr>
              <w:snapToGrid w:val="0"/>
              <w:spacing w:line="32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1000</w:t>
            </w:r>
          </w:p>
        </w:tc>
      </w:tr>
    </w:tbl>
    <w:p>
      <w:pPr>
        <w:rPr>
          <w:rFonts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before="120" w:beforeLines="50" w:after="120" w:afterLines="50" w:line="360" w:lineRule="auto"/>
        <w:rPr>
          <w:rFonts w:asciiTheme="minorEastAsia" w:hAnsiTheme="minorEastAsia" w:eastAsiaTheme="minorEastAsia"/>
          <w:b/>
          <w:color w:val="000000" w:themeColor="text1"/>
          <w:sz w:val="24"/>
          <w:szCs w:val="24"/>
          <w14:textFill>
            <w14:solidFill>
              <w14:schemeClr w14:val="tx1"/>
            </w14:solidFill>
          </w14:textFill>
        </w:rPr>
      </w:pPr>
    </w:p>
    <w:p>
      <w:pPr>
        <w:adjustRightInd w:val="0"/>
        <w:snapToGrid w:val="0"/>
        <w:spacing w:before="120" w:beforeLines="50" w:after="120" w:afterLines="50" w:line="360" w:lineRule="auto"/>
        <w:rPr>
          <w:rFonts w:asciiTheme="minorEastAsia" w:hAnsiTheme="minorEastAsia" w:eastAsiaTheme="minorEastAsia"/>
          <w:b/>
          <w:color w:val="000000" w:themeColor="text1"/>
          <w:sz w:val="24"/>
          <w:szCs w:val="24"/>
          <w14:textFill>
            <w14:solidFill>
              <w14:schemeClr w14:val="tx1"/>
            </w14:solidFill>
          </w14:textFill>
        </w:rPr>
      </w:pPr>
    </w:p>
    <w:p>
      <w:pPr>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p>
    <w:p>
      <w:pPr>
        <w:adjustRightInd w:val="0"/>
        <w:snapToGrid w:val="0"/>
        <w:spacing w:before="120" w:beforeLines="50" w:after="120" w:afterLines="50" w:line="360" w:lineRule="auto"/>
        <w:rPr>
          <w:rFonts w:asciiTheme="minorEastAsia" w:hAnsiTheme="minorEastAsia" w:eastAsiaTheme="minorEastAsia"/>
          <w:b/>
          <w:color w:val="000000" w:themeColor="text1"/>
          <w:sz w:val="24"/>
          <w:szCs w:val="24"/>
          <w14:textFill>
            <w14:solidFill>
              <w14:schemeClr w14:val="tx1"/>
            </w14:solidFill>
          </w14:textFill>
        </w:rPr>
      </w:pPr>
    </w:p>
    <w:p>
      <w:pPr>
        <w:keepNext/>
        <w:keepLines/>
        <w:spacing w:after="260" w:line="500" w:lineRule="exact"/>
        <w:jc w:val="center"/>
        <w:outlineLvl w:val="1"/>
        <w:rPr>
          <w:rFonts w:ascii="宋体" w:hAnsi="宋体"/>
          <w:b/>
          <w:bCs/>
          <w:color w:val="000000" w:themeColor="text1"/>
          <w:sz w:val="32"/>
          <w:szCs w:val="32"/>
          <w14:textFill>
            <w14:solidFill>
              <w14:schemeClr w14:val="tx1"/>
            </w14:solidFill>
          </w14:textFill>
        </w:rPr>
      </w:pPr>
      <w:bookmarkStart w:id="114" w:name="_Toc122103688"/>
      <w:bookmarkStart w:id="115" w:name="_Toc69194592"/>
      <w:r>
        <w:rPr>
          <w:rFonts w:hint="eastAsia" w:ascii="宋体" w:hAnsi="宋体"/>
          <w:b/>
          <w:bCs/>
          <w:color w:val="000000" w:themeColor="text1"/>
          <w:sz w:val="32"/>
          <w:szCs w:val="32"/>
          <w14:textFill>
            <w14:solidFill>
              <w14:schemeClr w14:val="tx1"/>
            </w14:solidFill>
          </w14:textFill>
        </w:rPr>
        <w:t>第七章 投标文件格式</w:t>
      </w:r>
      <w:bookmarkEnd w:id="114"/>
      <w:bookmarkEnd w:id="115"/>
    </w:p>
    <w:p>
      <w:pPr>
        <w:keepNext/>
        <w:keepLines/>
        <w:spacing w:before="120" w:after="120" w:line="400" w:lineRule="exact"/>
        <w:jc w:val="center"/>
        <w:outlineLvl w:val="1"/>
        <w:rPr>
          <w:rFonts w:ascii="Arial" w:hAnsi="Arial" w:cs="Calibri"/>
          <w:b/>
          <w:bCs/>
          <w:color w:val="000000" w:themeColor="text1"/>
          <w:sz w:val="32"/>
          <w:szCs w:val="32"/>
          <w14:textFill>
            <w14:solidFill>
              <w14:schemeClr w14:val="tx1"/>
            </w14:solidFill>
          </w14:textFill>
        </w:rPr>
      </w:pPr>
      <w:bookmarkStart w:id="116" w:name="_Toc69194593"/>
      <w:bookmarkStart w:id="117" w:name="_Toc479262713"/>
      <w:bookmarkStart w:id="118" w:name="_Toc28799390"/>
      <w:bookmarkStart w:id="119" w:name="_Toc530142180"/>
      <w:bookmarkStart w:id="120" w:name="_Toc26711494"/>
      <w:bookmarkStart w:id="121" w:name="_Toc524462521"/>
      <w:bookmarkStart w:id="122" w:name="_Toc122103689"/>
      <w:r>
        <w:rPr>
          <w:rFonts w:hint="eastAsia" w:ascii="Arial" w:hAnsi="Arial" w:cs="Calibri"/>
          <w:b/>
          <w:bCs/>
          <w:color w:val="000000" w:themeColor="text1"/>
          <w:sz w:val="32"/>
          <w:szCs w:val="32"/>
          <w14:textFill>
            <w14:solidFill>
              <w14:schemeClr w14:val="tx1"/>
            </w14:solidFill>
          </w14:textFill>
        </w:rPr>
        <w:t>评审因素索引表</w:t>
      </w:r>
      <w:bookmarkEnd w:id="116"/>
      <w:bookmarkEnd w:id="117"/>
      <w:bookmarkEnd w:id="118"/>
      <w:bookmarkEnd w:id="119"/>
      <w:bookmarkEnd w:id="120"/>
      <w:bookmarkEnd w:id="121"/>
      <w:bookmarkEnd w:id="122"/>
    </w:p>
    <w:p>
      <w:pPr>
        <w:jc w:val="center"/>
        <w:rPr>
          <w:rFonts w:ascii="Calibri" w:hAnsi="Calibri"/>
          <w:color w:val="000000" w:themeColor="text1"/>
          <w:sz w:val="24"/>
          <w14:textFill>
            <w14:solidFill>
              <w14:schemeClr w14:val="tx1"/>
            </w14:solidFill>
          </w14:textFill>
        </w:rPr>
      </w:pPr>
    </w:p>
    <w:tbl>
      <w:tblPr>
        <w:tblStyle w:val="67"/>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000000" w:themeColor="text1"/>
                <w:sz w:val="24"/>
                <w14:textFill>
                  <w14:solidFill>
                    <w14:schemeClr w14:val="tx1"/>
                  </w14:solidFill>
                </w14:textFill>
              </w:rPr>
            </w:pPr>
            <w:bookmarkStart w:id="123" w:name="_Toc256691567"/>
            <w:bookmarkStart w:id="124" w:name="_Toc256695443"/>
            <w:r>
              <w:rPr>
                <w:rFonts w:hint="eastAsia" w:ascii="Calibri" w:hAnsi="Calibri"/>
                <w:b/>
                <w:color w:val="000000" w:themeColor="text1"/>
                <w:sz w:val="24"/>
                <w14:textFill>
                  <w14:solidFill>
                    <w14:schemeClr w14:val="tx1"/>
                  </w14:solidFill>
                </w14:textFill>
              </w:rPr>
              <w:t>序号</w:t>
            </w:r>
            <w:bookmarkEnd w:id="123"/>
            <w:bookmarkEnd w:id="124"/>
          </w:p>
        </w:tc>
        <w:tc>
          <w:tcPr>
            <w:tcW w:w="4820" w:type="dxa"/>
            <w:vAlign w:val="center"/>
          </w:tcPr>
          <w:p>
            <w:pPr>
              <w:jc w:val="center"/>
              <w:rPr>
                <w:rFonts w:ascii="Calibri" w:hAnsi="Calibri"/>
                <w:b/>
                <w:color w:val="000000" w:themeColor="text1"/>
                <w:sz w:val="24"/>
                <w14:textFill>
                  <w14:solidFill>
                    <w14:schemeClr w14:val="tx1"/>
                  </w14:solidFill>
                </w14:textFill>
              </w:rPr>
            </w:pPr>
            <w:bookmarkStart w:id="125" w:name="_Toc256691568"/>
            <w:bookmarkStart w:id="126" w:name="_Toc256695444"/>
            <w:r>
              <w:rPr>
                <w:rFonts w:hint="eastAsia" w:ascii="Calibri" w:hAnsi="Calibri"/>
                <w:b/>
                <w:color w:val="000000" w:themeColor="text1"/>
                <w:sz w:val="24"/>
                <w14:textFill>
                  <w14:solidFill>
                    <w14:schemeClr w14:val="tx1"/>
                  </w14:solidFill>
                </w14:textFill>
              </w:rPr>
              <w:t>评审因素</w:t>
            </w:r>
            <w:bookmarkEnd w:id="125"/>
            <w:bookmarkEnd w:id="126"/>
          </w:p>
        </w:tc>
        <w:tc>
          <w:tcPr>
            <w:tcW w:w="3649" w:type="dxa"/>
            <w:vAlign w:val="center"/>
          </w:tcPr>
          <w:p>
            <w:pPr>
              <w:jc w:val="center"/>
              <w:rPr>
                <w:rFonts w:ascii="Calibri" w:hAnsi="Calibri"/>
                <w:b/>
                <w:color w:val="000000" w:themeColor="text1"/>
                <w:sz w:val="24"/>
                <w14:textFill>
                  <w14:solidFill>
                    <w14:schemeClr w14:val="tx1"/>
                  </w14:solidFill>
                </w14:textFill>
              </w:rPr>
            </w:pPr>
            <w:bookmarkStart w:id="127" w:name="_Toc256695445"/>
            <w:bookmarkStart w:id="128" w:name="_Toc256691569"/>
            <w:r>
              <w:rPr>
                <w:rFonts w:hint="eastAsia" w:ascii="Calibri" w:hAnsi="Calibri"/>
                <w:b/>
                <w:color w:val="000000" w:themeColor="text1"/>
                <w:sz w:val="24"/>
                <w14:textFill>
                  <w14:solidFill>
                    <w14:schemeClr w14:val="tx1"/>
                  </w14:solidFill>
                </w14:textFill>
              </w:rPr>
              <w:t>投标文件页码范围</w:t>
            </w:r>
            <w:bookmarkEnd w:id="127"/>
            <w:bookmarkEnd w:id="12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4"/>
                <w14:textFill>
                  <w14:solidFill>
                    <w14:schemeClr w14:val="tx1"/>
                  </w14:solidFill>
                </w14:textFill>
              </w:rPr>
            </w:pPr>
          </w:p>
        </w:tc>
        <w:tc>
          <w:tcPr>
            <w:tcW w:w="4820" w:type="dxa"/>
            <w:vAlign w:val="center"/>
          </w:tcPr>
          <w:p>
            <w:pPr>
              <w:jc w:val="center"/>
              <w:rPr>
                <w:rFonts w:ascii="Calibri" w:hAnsi="Calibri"/>
                <w:color w:val="000000" w:themeColor="text1"/>
                <w:sz w:val="24"/>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29" w:name="_Toc256691570"/>
            <w:bookmarkStart w:id="130" w:name="_Toc256695446"/>
            <w:r>
              <w:rPr>
                <w:rFonts w:hint="eastAsia" w:ascii="Calibri" w:hAnsi="Calibri"/>
                <w:color w:val="000000" w:themeColor="text1"/>
                <w:sz w:val="24"/>
                <w14:textFill>
                  <w14:solidFill>
                    <w14:schemeClr w14:val="tx1"/>
                  </w14:solidFill>
                </w14:textFill>
              </w:rPr>
              <w:t>P---  P</w:t>
            </w:r>
            <w:bookmarkEnd w:id="129"/>
            <w:bookmarkEnd w:id="13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31" w:name="_Toc256691571"/>
            <w:bookmarkStart w:id="132" w:name="_Toc256695447"/>
            <w:r>
              <w:rPr>
                <w:rFonts w:hint="eastAsia" w:ascii="Calibri" w:hAnsi="Calibri"/>
                <w:color w:val="000000" w:themeColor="text1"/>
                <w:sz w:val="24"/>
                <w14:textFill>
                  <w14:solidFill>
                    <w14:schemeClr w14:val="tx1"/>
                  </w14:solidFill>
                </w14:textFill>
              </w:rPr>
              <w:t>P---  P</w:t>
            </w:r>
            <w:bookmarkEnd w:id="131"/>
            <w:bookmarkEnd w:id="13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33" w:name="_Toc256695448"/>
            <w:bookmarkStart w:id="134" w:name="_Toc256691572"/>
            <w:r>
              <w:rPr>
                <w:rFonts w:hint="eastAsia" w:ascii="Calibri" w:hAnsi="Calibri"/>
                <w:color w:val="000000" w:themeColor="text1"/>
                <w:sz w:val="24"/>
                <w14:textFill>
                  <w14:solidFill>
                    <w14:schemeClr w14:val="tx1"/>
                  </w14:solidFill>
                </w14:textFill>
              </w:rPr>
              <w:t>P---  P</w:t>
            </w:r>
            <w:bookmarkEnd w:id="133"/>
            <w:bookmarkEnd w:id="1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35" w:name="_Toc256695449"/>
            <w:bookmarkStart w:id="136" w:name="_Toc256691573"/>
            <w:r>
              <w:rPr>
                <w:rFonts w:hint="eastAsia" w:ascii="Calibri" w:hAnsi="Calibri"/>
                <w:color w:val="000000" w:themeColor="text1"/>
                <w:sz w:val="24"/>
                <w14:textFill>
                  <w14:solidFill>
                    <w14:schemeClr w14:val="tx1"/>
                  </w14:solidFill>
                </w14:textFill>
              </w:rPr>
              <w:t>P---  P</w:t>
            </w:r>
            <w:bookmarkEnd w:id="135"/>
            <w:bookmarkEnd w:id="13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37" w:name="_Toc256691574"/>
            <w:bookmarkStart w:id="138" w:name="_Toc256695450"/>
            <w:r>
              <w:rPr>
                <w:rFonts w:hint="eastAsia" w:ascii="Calibri" w:hAnsi="Calibri"/>
                <w:color w:val="000000" w:themeColor="text1"/>
                <w:sz w:val="24"/>
                <w14:textFill>
                  <w14:solidFill>
                    <w14:schemeClr w14:val="tx1"/>
                  </w14:solidFill>
                </w14:textFill>
              </w:rPr>
              <w:t>P---  P</w:t>
            </w:r>
            <w:bookmarkEnd w:id="137"/>
            <w:bookmarkEnd w:id="13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39" w:name="_Toc256695451"/>
            <w:bookmarkStart w:id="140" w:name="_Toc256691575"/>
            <w:r>
              <w:rPr>
                <w:rFonts w:hint="eastAsia" w:ascii="Calibri" w:hAnsi="Calibri"/>
                <w:color w:val="000000" w:themeColor="text1"/>
                <w:sz w:val="24"/>
                <w14:textFill>
                  <w14:solidFill>
                    <w14:schemeClr w14:val="tx1"/>
                  </w14:solidFill>
                </w14:textFill>
              </w:rPr>
              <w:t>P---  P</w:t>
            </w:r>
            <w:bookmarkEnd w:id="139"/>
            <w:bookmarkEnd w:id="14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41" w:name="_Toc256695452"/>
            <w:bookmarkStart w:id="142" w:name="_Toc256691576"/>
            <w:r>
              <w:rPr>
                <w:rFonts w:hint="eastAsia" w:ascii="Calibri" w:hAnsi="Calibri"/>
                <w:color w:val="000000" w:themeColor="text1"/>
                <w:sz w:val="24"/>
                <w14:textFill>
                  <w14:solidFill>
                    <w14:schemeClr w14:val="tx1"/>
                  </w14:solidFill>
                </w14:textFill>
              </w:rPr>
              <w:t>P---  P</w:t>
            </w:r>
            <w:bookmarkEnd w:id="141"/>
            <w:bookmarkEnd w:id="14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43" w:name="_Toc256691577"/>
            <w:bookmarkStart w:id="144" w:name="_Toc256695453"/>
            <w:r>
              <w:rPr>
                <w:rFonts w:hint="eastAsia" w:ascii="Calibri" w:hAnsi="Calibri"/>
                <w:color w:val="000000" w:themeColor="text1"/>
                <w:sz w:val="24"/>
                <w14:textFill>
                  <w14:solidFill>
                    <w14:schemeClr w14:val="tx1"/>
                  </w14:solidFill>
                </w14:textFill>
              </w:rPr>
              <w:t>P---  P</w:t>
            </w:r>
            <w:bookmarkEnd w:id="143"/>
            <w:bookmarkEnd w:id="14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45" w:name="_Toc256695454"/>
            <w:bookmarkStart w:id="146" w:name="_Toc256691578"/>
            <w:r>
              <w:rPr>
                <w:rFonts w:hint="eastAsia" w:ascii="Calibri" w:hAnsi="Calibri"/>
                <w:color w:val="000000" w:themeColor="text1"/>
                <w:sz w:val="24"/>
                <w14:textFill>
                  <w14:solidFill>
                    <w14:schemeClr w14:val="tx1"/>
                  </w14:solidFill>
                </w14:textFill>
              </w:rPr>
              <w:t>P---  P</w:t>
            </w:r>
            <w:bookmarkEnd w:id="145"/>
            <w:bookmarkEnd w:id="14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47" w:name="_Toc256695455"/>
            <w:bookmarkStart w:id="148" w:name="_Toc256691579"/>
            <w:r>
              <w:rPr>
                <w:rFonts w:hint="eastAsia" w:ascii="Calibri" w:hAnsi="Calibri"/>
                <w:color w:val="000000" w:themeColor="text1"/>
                <w:sz w:val="24"/>
                <w14:textFill>
                  <w14:solidFill>
                    <w14:schemeClr w14:val="tx1"/>
                  </w14:solidFill>
                </w14:textFill>
              </w:rPr>
              <w:t>P---  P</w:t>
            </w:r>
            <w:bookmarkEnd w:id="147"/>
            <w:bookmarkEnd w:id="14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bookmarkStart w:id="149" w:name="_Toc256691580"/>
            <w:bookmarkStart w:id="150" w:name="_Toc256695456"/>
            <w:r>
              <w:rPr>
                <w:rFonts w:hint="eastAsia" w:ascii="Calibri" w:hAnsi="Calibri"/>
                <w:color w:val="000000" w:themeColor="text1"/>
                <w:sz w:val="24"/>
                <w14:textFill>
                  <w14:solidFill>
                    <w14:schemeClr w14:val="tx1"/>
                  </w14:solidFill>
                </w14:textFill>
              </w:rPr>
              <w:t>P---  P</w:t>
            </w:r>
            <w:bookmarkEnd w:id="149"/>
            <w:bookmarkEnd w:id="15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151" w:name="_Toc256691581"/>
            <w:bookmarkStart w:id="152" w:name="_Toc256695457"/>
            <w:r>
              <w:rPr>
                <w:rFonts w:hint="eastAsia" w:ascii="Calibri" w:hAnsi="Calibri"/>
                <w:color w:val="000000" w:themeColor="text1"/>
                <w:sz w:val="24"/>
                <w14:textFill>
                  <w14:solidFill>
                    <w14:schemeClr w14:val="tx1"/>
                  </w14:solidFill>
                </w14:textFill>
              </w:rPr>
              <w:t>P---  P</w:t>
            </w:r>
            <w:bookmarkEnd w:id="151"/>
            <w:bookmarkEnd w:id="15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bookmarkStart w:id="153" w:name="_Toc256695458"/>
            <w:bookmarkStart w:id="154" w:name="_Toc256691582"/>
            <w:r>
              <w:rPr>
                <w:rFonts w:hint="eastAsia" w:ascii="Calibri" w:hAnsi="Calibri"/>
                <w:color w:val="000000" w:themeColor="text1"/>
                <w:sz w:val="24"/>
                <w14:textFill>
                  <w14:solidFill>
                    <w14:schemeClr w14:val="tx1"/>
                  </w14:solidFill>
                </w14:textFill>
              </w:rPr>
              <w:t>P---  P</w:t>
            </w:r>
            <w:bookmarkEnd w:id="153"/>
            <w:bookmarkEnd w:id="15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bookmarkStart w:id="155" w:name="_Toc256691583"/>
            <w:bookmarkStart w:id="156" w:name="_Toc256695459"/>
            <w:r>
              <w:rPr>
                <w:rFonts w:hint="eastAsia" w:ascii="Calibri" w:hAnsi="Calibri"/>
                <w:color w:val="000000" w:themeColor="text1"/>
                <w:sz w:val="28"/>
                <w:szCs w:val="28"/>
                <w14:textFill>
                  <w14:solidFill>
                    <w14:schemeClr w14:val="tx1"/>
                  </w14:solidFill>
                </w14:textFill>
              </w:rPr>
              <w:t>……</w:t>
            </w:r>
            <w:bookmarkEnd w:id="155"/>
            <w:bookmarkEnd w:id="156"/>
          </w:p>
        </w:tc>
        <w:tc>
          <w:tcPr>
            <w:tcW w:w="3649" w:type="dxa"/>
            <w:vAlign w:val="center"/>
          </w:tcPr>
          <w:p>
            <w:pPr>
              <w:jc w:val="center"/>
              <w:rPr>
                <w:rFonts w:ascii="Calibri" w:hAnsi="Calibri"/>
                <w:color w:val="000000" w:themeColor="text1"/>
                <w:sz w:val="24"/>
                <w14:textFill>
                  <w14:solidFill>
                    <w14:schemeClr w14:val="tx1"/>
                  </w14:solidFill>
                </w14:textFill>
              </w:rPr>
            </w:pPr>
            <w:bookmarkStart w:id="157" w:name="_Toc256695460"/>
            <w:bookmarkStart w:id="158" w:name="_Toc256691584"/>
            <w:r>
              <w:rPr>
                <w:rFonts w:hint="eastAsia" w:ascii="Calibri" w:hAnsi="Calibri"/>
                <w:color w:val="000000" w:themeColor="text1"/>
                <w:sz w:val="28"/>
                <w:szCs w:val="28"/>
                <w14:textFill>
                  <w14:solidFill>
                    <w14:schemeClr w14:val="tx1"/>
                  </w14:solidFill>
                </w14:textFill>
              </w:rPr>
              <w:t>……</w:t>
            </w:r>
            <w:bookmarkEnd w:id="157"/>
            <w:bookmarkEnd w:id="15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p>
        </w:tc>
      </w:tr>
    </w:tbl>
    <w:p>
      <w:pPr>
        <w:spacing w:line="500" w:lineRule="exact"/>
        <w:jc w:val="center"/>
        <w:rPr>
          <w:rFonts w:ascii="宋体" w:hAnsi="宋体"/>
          <w:b/>
          <w:color w:val="000000" w:themeColor="text1"/>
          <w:sz w:val="24"/>
          <w:szCs w:val="24"/>
          <w14:textFill>
            <w14:solidFill>
              <w14:schemeClr w14:val="tx1"/>
            </w14:solidFill>
          </w14:textFill>
        </w:rPr>
      </w:pPr>
      <w:r>
        <w:rPr>
          <w:rFonts w:ascii="黑体" w:eastAsia="黑体"/>
          <w:color w:val="000000" w:themeColor="text1"/>
          <w:sz w:val="28"/>
          <w:szCs w:val="28"/>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投标文件资料清单</w:t>
      </w:r>
    </w:p>
    <w:p>
      <w:pPr>
        <w:spacing w:line="500" w:lineRule="exact"/>
        <w:jc w:val="center"/>
        <w:rPr>
          <w:rFonts w:ascii="宋体" w:hAnsi="宋体"/>
          <w:b/>
          <w:color w:val="000000" w:themeColor="text1"/>
          <w:sz w:val="24"/>
          <w:szCs w:val="24"/>
          <w14:textFill>
            <w14:solidFill>
              <w14:schemeClr w14:val="tx1"/>
            </w14:solidFill>
          </w14:textFill>
        </w:rPr>
      </w:pPr>
    </w:p>
    <w:tbl>
      <w:tblPr>
        <w:tblStyle w:val="6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5376" w:type="dxa"/>
            <w:vAlign w:val="center"/>
          </w:tcPr>
          <w:p>
            <w:pPr>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资料名称</w:t>
            </w:r>
          </w:p>
        </w:tc>
        <w:tc>
          <w:tcPr>
            <w:tcW w:w="2625" w:type="dxa"/>
            <w:vAlign w:val="center"/>
          </w:tcPr>
          <w:p>
            <w:pPr>
              <w:spacing w:line="40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p>
        </w:tc>
        <w:tc>
          <w:tcPr>
            <w:tcW w:w="5376" w:type="dxa"/>
            <w:vAlign w:val="center"/>
          </w:tcPr>
          <w:p>
            <w:pPr>
              <w:rPr>
                <w:color w:val="000000" w:themeColor="text1"/>
                <w:u w:val="single"/>
                <w14:textFill>
                  <w14:solidFill>
                    <w14:schemeClr w14:val="tx1"/>
                  </w14:solidFill>
                </w14:textFill>
              </w:rPr>
            </w:pPr>
            <w:r>
              <w:rPr>
                <w:rFonts w:hint="eastAsia"/>
                <w:bCs/>
                <w:color w:val="000000" w:themeColor="text1"/>
                <w:sz w:val="24"/>
                <w14:textFill>
                  <w14:solidFill>
                    <w14:schemeClr w14:val="tx1"/>
                  </w14:solidFill>
                </w14:textFill>
              </w:rPr>
              <w:t>投标函</w:t>
            </w:r>
          </w:p>
        </w:tc>
        <w:tc>
          <w:tcPr>
            <w:tcW w:w="2625" w:type="dxa"/>
            <w:vAlign w:val="center"/>
          </w:tcPr>
          <w:p>
            <w:pPr>
              <w:spacing w:line="360" w:lineRule="auto"/>
              <w:jc w:val="center"/>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p>
        </w:tc>
        <w:tc>
          <w:tcPr>
            <w:tcW w:w="5376" w:type="dxa"/>
            <w:vAlign w:val="center"/>
          </w:tcPr>
          <w:p>
            <w:pPr>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拟投标人情况综合简介</w:t>
            </w:r>
          </w:p>
        </w:tc>
        <w:tc>
          <w:tcPr>
            <w:tcW w:w="2625" w:type="dxa"/>
            <w:vAlign w:val="center"/>
          </w:tcPr>
          <w:p>
            <w:pPr>
              <w:spacing w:line="360" w:lineRule="auto"/>
              <w:jc w:val="center"/>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w:t>
            </w:r>
          </w:p>
        </w:tc>
        <w:tc>
          <w:tcPr>
            <w:tcW w:w="5376" w:type="dxa"/>
            <w:vAlign w:val="center"/>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投标保证金退还声明</w:t>
            </w:r>
          </w:p>
        </w:tc>
        <w:tc>
          <w:tcPr>
            <w:tcW w:w="2625" w:type="dxa"/>
            <w:vAlign w:val="center"/>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w:t>
            </w:r>
          </w:p>
        </w:tc>
        <w:tc>
          <w:tcPr>
            <w:tcW w:w="5376" w:type="dxa"/>
            <w:vAlign w:val="center"/>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开标一览表</w:t>
            </w:r>
          </w:p>
        </w:tc>
        <w:tc>
          <w:tcPr>
            <w:tcW w:w="2625" w:type="dxa"/>
            <w:vAlign w:val="center"/>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w:t>
            </w:r>
          </w:p>
        </w:tc>
        <w:tc>
          <w:tcPr>
            <w:tcW w:w="5376" w:type="dxa"/>
            <w:vAlign w:val="center"/>
          </w:tcPr>
          <w:p>
            <w:pPr>
              <w:rPr>
                <w:bCs/>
                <w:color w:val="000000" w:themeColor="text1"/>
                <w:sz w:val="24"/>
                <w:szCs w:val="20"/>
                <w14:textFill>
                  <w14:solidFill>
                    <w14:schemeClr w14:val="tx1"/>
                  </w14:solidFill>
                </w14:textFill>
              </w:rPr>
            </w:pPr>
            <w:r>
              <w:rPr>
                <w:rFonts w:hint="eastAsia"/>
                <w:bCs/>
                <w:color w:val="000000" w:themeColor="text1"/>
                <w:sz w:val="24"/>
                <w:szCs w:val="20"/>
                <w14:textFill>
                  <w14:solidFill>
                    <w14:schemeClr w14:val="tx1"/>
                  </w14:solidFill>
                </w14:textFill>
              </w:rPr>
              <w:t>投标报价表</w:t>
            </w:r>
          </w:p>
        </w:tc>
        <w:tc>
          <w:tcPr>
            <w:tcW w:w="2625" w:type="dxa"/>
            <w:vAlign w:val="center"/>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w:t>
            </w:r>
          </w:p>
        </w:tc>
        <w:tc>
          <w:tcPr>
            <w:tcW w:w="5376" w:type="dxa"/>
            <w:vAlign w:val="center"/>
          </w:tcPr>
          <w:p>
            <w:pPr>
              <w:rPr>
                <w:bCs/>
                <w:color w:val="000000" w:themeColor="text1"/>
                <w:sz w:val="24"/>
                <w:szCs w:val="20"/>
                <w14:textFill>
                  <w14:solidFill>
                    <w14:schemeClr w14:val="tx1"/>
                  </w14:solidFill>
                </w14:textFill>
              </w:rPr>
            </w:pPr>
            <w:r>
              <w:rPr>
                <w:rFonts w:hint="eastAsia" w:ascii="Tahoma" w:hAnsi="Tahoma"/>
                <w:bCs/>
                <w:color w:val="000000" w:themeColor="text1"/>
                <w:sz w:val="24"/>
                <w:szCs w:val="20"/>
                <w14:textFill>
                  <w14:solidFill>
                    <w14:schemeClr w14:val="tx1"/>
                  </w14:solidFill>
                </w14:textFill>
              </w:rPr>
              <w:t>投标人信用承诺</w:t>
            </w:r>
          </w:p>
        </w:tc>
        <w:tc>
          <w:tcPr>
            <w:tcW w:w="2625" w:type="dxa"/>
            <w:vAlign w:val="center"/>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投标业绩</w:t>
            </w: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拟投标本项目的人员情况</w:t>
            </w: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服务方案</w:t>
            </w: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有关证明文件</w:t>
            </w: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十一</w:t>
            </w:r>
          </w:p>
        </w:tc>
        <w:tc>
          <w:tcPr>
            <w:tcW w:w="5376" w:type="dxa"/>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投标授权书</w:t>
            </w: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十二</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投标人认为需提供的其他资料</w:t>
            </w: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p>
        </w:tc>
        <w:tc>
          <w:tcPr>
            <w:tcW w:w="5376" w:type="dxa"/>
            <w:vAlign w:val="center"/>
          </w:tcPr>
          <w:p>
            <w:pPr>
              <w:rPr>
                <w:color w:val="000000" w:themeColor="text1"/>
                <w:sz w:val="24"/>
                <w14:textFill>
                  <w14:solidFill>
                    <w14:schemeClr w14:val="tx1"/>
                  </w14:solidFill>
                </w14:textFill>
              </w:rPr>
            </w:pP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p>
        </w:tc>
        <w:tc>
          <w:tcPr>
            <w:tcW w:w="5376" w:type="dxa"/>
            <w:vAlign w:val="center"/>
          </w:tcPr>
          <w:p>
            <w:pPr>
              <w:rPr>
                <w:color w:val="000000" w:themeColor="text1"/>
                <w:sz w:val="24"/>
                <w14:textFill>
                  <w14:solidFill>
                    <w14:schemeClr w14:val="tx1"/>
                  </w14:solidFill>
                </w14:textFill>
              </w:rPr>
            </w:pP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p>
        </w:tc>
        <w:tc>
          <w:tcPr>
            <w:tcW w:w="5376" w:type="dxa"/>
            <w:vAlign w:val="center"/>
          </w:tcPr>
          <w:p>
            <w:pPr>
              <w:rPr>
                <w:color w:val="000000" w:themeColor="text1"/>
                <w:sz w:val="24"/>
                <w14:textFill>
                  <w14:solidFill>
                    <w14:schemeClr w14:val="tx1"/>
                  </w14:solidFill>
                </w14:textFill>
              </w:rPr>
            </w:pP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p>
        </w:tc>
        <w:tc>
          <w:tcPr>
            <w:tcW w:w="5376" w:type="dxa"/>
            <w:vAlign w:val="center"/>
          </w:tcPr>
          <w:p>
            <w:pPr>
              <w:rPr>
                <w:color w:val="000000" w:themeColor="text1"/>
                <w:sz w:val="24"/>
                <w14:textFill>
                  <w14:solidFill>
                    <w14:schemeClr w14:val="tx1"/>
                  </w14:solidFill>
                </w14:textFill>
              </w:rPr>
            </w:pP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p>
        </w:tc>
        <w:tc>
          <w:tcPr>
            <w:tcW w:w="5376" w:type="dxa"/>
            <w:vAlign w:val="center"/>
          </w:tcPr>
          <w:p>
            <w:pPr>
              <w:rPr>
                <w:color w:val="000000" w:themeColor="text1"/>
                <w:sz w:val="24"/>
                <w14:textFill>
                  <w14:solidFill>
                    <w14:schemeClr w14:val="tx1"/>
                  </w14:solidFill>
                </w14:textFill>
              </w:rPr>
            </w:pPr>
          </w:p>
        </w:tc>
        <w:tc>
          <w:tcPr>
            <w:tcW w:w="2625" w:type="dxa"/>
            <w:vAlign w:val="center"/>
          </w:tcPr>
          <w:p>
            <w:pPr>
              <w:spacing w:line="360" w:lineRule="auto"/>
              <w:rPr>
                <w:rFonts w:ascii="宋体" w:hAnsi="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p>
        </w:tc>
        <w:tc>
          <w:tcPr>
            <w:tcW w:w="5376" w:type="dxa"/>
            <w:vAlign w:val="center"/>
          </w:tcPr>
          <w:p>
            <w:pPr>
              <w:rPr>
                <w:color w:val="000000" w:themeColor="text1"/>
                <w:sz w:val="24"/>
                <w14:textFill>
                  <w14:solidFill>
                    <w14:schemeClr w14:val="tx1"/>
                  </w14:solidFill>
                </w14:textFill>
              </w:rPr>
            </w:pPr>
          </w:p>
        </w:tc>
        <w:tc>
          <w:tcPr>
            <w:tcW w:w="2625" w:type="dxa"/>
            <w:vAlign w:val="center"/>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p>
        </w:tc>
        <w:tc>
          <w:tcPr>
            <w:tcW w:w="5376" w:type="dxa"/>
            <w:vAlign w:val="center"/>
          </w:tcPr>
          <w:p>
            <w:pPr>
              <w:rPr>
                <w:color w:val="000000" w:themeColor="text1"/>
                <w:sz w:val="24"/>
                <w14:textFill>
                  <w14:solidFill>
                    <w14:schemeClr w14:val="tx1"/>
                  </w14:solidFill>
                </w14:textFill>
              </w:rPr>
            </w:pPr>
          </w:p>
        </w:tc>
        <w:tc>
          <w:tcPr>
            <w:tcW w:w="2625" w:type="dxa"/>
            <w:vAlign w:val="center"/>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p>
        </w:tc>
        <w:tc>
          <w:tcPr>
            <w:tcW w:w="5376" w:type="dxa"/>
            <w:vAlign w:val="center"/>
          </w:tcPr>
          <w:p>
            <w:pPr>
              <w:rPr>
                <w:color w:val="000000" w:themeColor="text1"/>
                <w:sz w:val="24"/>
                <w14:textFill>
                  <w14:solidFill>
                    <w14:schemeClr w14:val="tx1"/>
                  </w14:solidFill>
                </w14:textFill>
              </w:rPr>
            </w:pPr>
          </w:p>
        </w:tc>
        <w:tc>
          <w:tcPr>
            <w:tcW w:w="2625" w:type="dxa"/>
            <w:vAlign w:val="center"/>
          </w:tcPr>
          <w:p>
            <w:pPr>
              <w:spacing w:line="500" w:lineRule="exact"/>
              <w:rPr>
                <w:rFonts w:ascii="宋体" w:hAnsi="宋体"/>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p>
        </w:tc>
        <w:tc>
          <w:tcPr>
            <w:tcW w:w="5376" w:type="dxa"/>
            <w:vAlign w:val="center"/>
          </w:tcPr>
          <w:p>
            <w:pPr>
              <w:rPr>
                <w:color w:val="000000" w:themeColor="text1"/>
                <w:sz w:val="24"/>
                <w14:textFill>
                  <w14:solidFill>
                    <w14:schemeClr w14:val="tx1"/>
                  </w14:solidFill>
                </w14:textFill>
              </w:rPr>
            </w:pPr>
          </w:p>
        </w:tc>
        <w:tc>
          <w:tcPr>
            <w:tcW w:w="2625" w:type="dxa"/>
            <w:vAlign w:val="center"/>
          </w:tcPr>
          <w:p>
            <w:pPr>
              <w:spacing w:line="500" w:lineRule="exact"/>
              <w:rPr>
                <w:rFonts w:ascii="宋体" w:hAnsi="宋体"/>
                <w:b/>
                <w:color w:val="000000" w:themeColor="text1"/>
                <w:sz w:val="28"/>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59" w:name="_Toc27835"/>
      <w:r>
        <w:rPr>
          <w:rFonts w:hint="eastAsia" w:ascii="宋体" w:hAnsi="宋体"/>
          <w:b/>
          <w:bCs/>
          <w:color w:val="000000" w:themeColor="text1"/>
          <w:sz w:val="28"/>
          <w:szCs w:val="32"/>
          <w14:textFill>
            <w14:solidFill>
              <w14:schemeClr w14:val="tx1"/>
            </w14:solidFill>
          </w14:textFill>
        </w:rPr>
        <w:t>一．投标函</w:t>
      </w:r>
      <w:bookmarkEnd w:id="159"/>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致：合肥文旅博览集团有限公司</w:t>
      </w:r>
    </w:p>
    <w:p>
      <w:pPr>
        <w:spacing w:line="360" w:lineRule="auto"/>
        <w:ind w:left="101" w:leftChars="48" w:firstLine="480" w:firstLineChars="200"/>
        <w:jc w:val="left"/>
        <w:rPr>
          <w:rFonts w:ascii="宋体" w:hAnsi="宋体"/>
          <w:dstrike/>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根据贵方“</w:t>
      </w:r>
      <w:r>
        <w:rPr>
          <w:rFonts w:hint="eastAsia" w:ascii="宋体" w:hAnsi="宋体"/>
          <w:b/>
          <w:bCs/>
          <w:color w:val="000000" w:themeColor="text1"/>
          <w:sz w:val="24"/>
          <w:szCs w:val="24"/>
          <w:u w:val="single"/>
          <w14:textFill>
            <w14:solidFill>
              <w14:schemeClr w14:val="tx1"/>
            </w14:solidFill>
          </w14:textFill>
        </w:rPr>
        <w:t xml:space="preserve">                   项目</w:t>
      </w:r>
      <w:r>
        <w:rPr>
          <w:rFonts w:hint="eastAsia" w:ascii="宋体" w:hAnsi="宋体"/>
          <w:color w:val="000000" w:themeColor="text1"/>
          <w:sz w:val="24"/>
          <w:szCs w:val="24"/>
          <w14:textFill>
            <w14:solidFill>
              <w14:schemeClr w14:val="tx1"/>
            </w14:solidFill>
          </w14:textFill>
        </w:rPr>
        <w:t>”的第</w:t>
      </w:r>
      <w:r>
        <w:rPr>
          <w:rFonts w:hint="eastAsia" w:ascii="宋体" w:hAnsi="宋体"/>
          <w:b/>
          <w:color w:val="000000" w:themeColor="text1"/>
          <w:kern w:val="0"/>
          <w:sz w:val="24"/>
          <w:szCs w:val="24"/>
          <w:u w:val="single"/>
          <w:lang w:val="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号招标邀请书，正式授权</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（姓名、身份证号）代表投标人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据此函，我方兹宣布同意如下：</w:t>
      </w:r>
    </w:p>
    <w:p>
      <w:pPr>
        <w:spacing w:line="360" w:lineRule="auto"/>
        <w:ind w:firstLine="628" w:firstLineChars="262"/>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（2）我方根据招标文件的规定，严格履行合同的责任和义务</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并保证于买方要求的日期内完成服务，并通过买方验收。</w:t>
      </w:r>
    </w:p>
    <w:p>
      <w:pPr>
        <w:spacing w:line="360" w:lineRule="auto"/>
        <w:ind w:firstLine="63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（3）我方承诺报价低于</w:t>
      </w:r>
      <w:r>
        <w:rPr>
          <w:rFonts w:ascii="宋体" w:hAnsi="宋体"/>
          <w:color w:val="000000" w:themeColor="text1"/>
          <w:sz w:val="24"/>
          <w:szCs w:val="24"/>
          <w14:textFill>
            <w14:solidFill>
              <w14:schemeClr w14:val="tx1"/>
            </w14:solidFill>
          </w14:textFill>
        </w:rPr>
        <w:t>同类服务的市场平均价格。</w:t>
      </w:r>
    </w:p>
    <w:p>
      <w:pPr>
        <w:spacing w:line="360" w:lineRule="auto"/>
        <w:ind w:left="101" w:leftChars="48"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left="101" w:leftChars="48"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left="101" w:leftChars="48"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（6）我方声明投标文件所提供的一切资料均真实无误、及时、有效。企业运营正常（</w:t>
      </w:r>
      <w:r>
        <w:rPr>
          <w:rFonts w:ascii="宋体" w:hAnsi="宋体"/>
          <w:color w:val="000000" w:themeColor="text1"/>
          <w:sz w:val="24"/>
          <w:szCs w:val="24"/>
          <w14:textFill>
            <w14:solidFill>
              <w14:schemeClr w14:val="tx1"/>
            </w14:solidFill>
          </w14:textFill>
        </w:rPr>
        <w:t>注册登记信息、年报信息</w:t>
      </w:r>
      <w:r>
        <w:rPr>
          <w:rFonts w:hint="eastAsia" w:ascii="宋体" w:hAnsi="宋体"/>
          <w:color w:val="000000" w:themeColor="text1"/>
          <w:sz w:val="24"/>
          <w:szCs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left="101" w:leftChars="48"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（7）我方完全理解贵方不一定接受最低报价的投标。</w:t>
      </w:r>
    </w:p>
    <w:p>
      <w:pPr>
        <w:spacing w:line="360" w:lineRule="auto"/>
        <w:ind w:left="101" w:leftChars="48"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（8）我方承诺若中标，按招标文件要求提供本地化服务。</w:t>
      </w:r>
    </w:p>
    <w:p>
      <w:pPr>
        <w:spacing w:line="360" w:lineRule="auto"/>
        <w:ind w:left="101" w:leftChars="48"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（9）我方同意招标文件规定的付款方式。</w:t>
      </w:r>
    </w:p>
    <w:p>
      <w:pPr>
        <w:spacing w:line="360" w:lineRule="auto"/>
        <w:ind w:firstLine="630"/>
        <w:jc w:val="left"/>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（10）与本投标有关的通讯地址：</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63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    话：</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传    真：</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63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投标人基本账户开户名：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账号：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开户行：</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63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投标人章：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    期：</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bookmarkStart w:id="160" w:name="_Hlt514495724"/>
      <w:bookmarkEnd w:id="160"/>
      <w:bookmarkStart w:id="161" w:name="_Hlt533408944"/>
      <w:bookmarkEnd w:id="161"/>
    </w:p>
    <w:p>
      <w:pPr>
        <w:widowControl/>
        <w:spacing w:line="360" w:lineRule="auto"/>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auto"/>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360" w:lineRule="auto"/>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360" w:lineRule="auto"/>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360" w:lineRule="auto"/>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360" w:lineRule="auto"/>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p>
      <w:pPr>
        <w:spacing w:line="360" w:lineRule="auto"/>
        <w:rPr>
          <w:color w:val="000000" w:themeColor="text1"/>
          <w:sz w:val="24"/>
          <w:szCs w:val="24"/>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62" w:name="_Toc516969097"/>
      <w:bookmarkStart w:id="163" w:name="_Toc471736409"/>
      <w:bookmarkStart w:id="164" w:name="_Toc22250"/>
      <w:r>
        <w:rPr>
          <w:rFonts w:hint="eastAsia" w:ascii="宋体" w:hAnsi="宋体"/>
          <w:b/>
          <w:bCs/>
          <w:color w:val="000000" w:themeColor="text1"/>
          <w:sz w:val="28"/>
          <w:szCs w:val="32"/>
          <w14:textFill>
            <w14:solidFill>
              <w14:schemeClr w14:val="tx1"/>
            </w14:solidFill>
          </w14:textFill>
        </w:rPr>
        <w:t>二．投标人情况综合简介</w:t>
      </w:r>
      <w:bookmarkEnd w:id="162"/>
      <w:bookmarkEnd w:id="163"/>
      <w:bookmarkEnd w:id="164"/>
    </w:p>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rPr>
          <w:rFonts w:ascii="宋体" w:hAnsi="宋体"/>
          <w:b/>
          <w:bCs/>
          <w:color w:val="000000" w:themeColor="text1"/>
          <w:sz w:val="28"/>
          <w:szCs w:val="32"/>
          <w14:textFill>
            <w14:solidFill>
              <w14:schemeClr w14:val="tx1"/>
            </w14:solidFill>
          </w14:textFill>
        </w:rPr>
      </w:pPr>
      <w:bookmarkStart w:id="165" w:name="_Toc20954"/>
      <w:r>
        <w:rPr>
          <w:rFonts w:hint="eastAsia" w:ascii="宋体" w:hAnsi="宋体"/>
          <w:b/>
          <w:bCs/>
          <w:color w:val="000000" w:themeColor="text1"/>
          <w:sz w:val="28"/>
          <w:szCs w:val="32"/>
          <w14:textFill>
            <w14:solidFill>
              <w14:schemeClr w14:val="tx1"/>
            </w14:solidFill>
          </w14:textFill>
        </w:rPr>
        <w:br w:type="page"/>
      </w: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三、投标保证金退还声明</w:t>
      </w:r>
      <w:bookmarkEnd w:id="165"/>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项目名称：                                          </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项目编号：                                      </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投标保证金金额：                 </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我单位投标保证金到期后请汇至如下账号：</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收款单位：                       </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开 户 行：                       </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银行账号：                       </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    话：                       </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址：                       </w:t>
      </w:r>
    </w:p>
    <w:p>
      <w:pPr>
        <w:spacing w:line="480" w:lineRule="auto"/>
        <w:rPr>
          <w:rFonts w:ascii="宋体" w:hAnsi="宋体"/>
          <w:color w:val="000000" w:themeColor="text1"/>
          <w:sz w:val="24"/>
          <w14:textFill>
            <w14:solidFill>
              <w14:schemeClr w14:val="tx1"/>
            </w14:solidFill>
          </w14:textFill>
        </w:rPr>
      </w:pP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附：投标保证金转账凭证扫描件</w:t>
      </w:r>
    </w:p>
    <w:p>
      <w:pPr>
        <w:spacing w:line="480" w:lineRule="auto"/>
        <w:rPr>
          <w:rFonts w:ascii="宋体" w:hAnsi="宋体"/>
          <w:color w:val="000000" w:themeColor="text1"/>
          <w:sz w:val="24"/>
          <w14:textFill>
            <w14:solidFill>
              <w14:schemeClr w14:val="tx1"/>
            </w14:solidFill>
          </w14:textFill>
        </w:rPr>
      </w:pP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企业法人（签字）：</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授权代表（签字）：</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jc w:val="center"/>
        <w:rPr>
          <w:rFonts w:ascii="宋体" w:hAnsi="宋体"/>
          <w:color w:val="000000" w:themeColor="text1"/>
          <w:sz w:val="24"/>
          <w14:textFill>
            <w14:solidFill>
              <w14:schemeClr w14:val="tx1"/>
            </w14:solidFill>
          </w14:textFill>
        </w:rPr>
      </w:pPr>
    </w:p>
    <w:p>
      <w:pPr>
        <w:spacing w:line="500" w:lineRule="exact"/>
        <w:rPr>
          <w:rFonts w:ascii="宋体" w:hAnsi="宋体"/>
          <w:color w:val="000000" w:themeColor="text1"/>
          <w:sz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66" w:name="_Toc25413"/>
      <w:r>
        <w:rPr>
          <w:rFonts w:hint="eastAsia" w:ascii="宋体" w:hAnsi="宋体"/>
          <w:b/>
          <w:bCs/>
          <w:color w:val="000000" w:themeColor="text1"/>
          <w:sz w:val="28"/>
          <w:szCs w:val="32"/>
          <w14:textFill>
            <w14:solidFill>
              <w14:schemeClr w14:val="tx1"/>
            </w14:solidFill>
          </w14:textFill>
        </w:rPr>
        <w:t>四．开标一览表</w:t>
      </w:r>
      <w:bookmarkEnd w:id="166"/>
    </w:p>
    <w:tbl>
      <w:tblPr>
        <w:tblStyle w:val="6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bCs/>
                <w:color w:val="000000" w:themeColor="text1"/>
                <w:sz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是否响应招标文件计价基准及结算方式</w:t>
            </w:r>
          </w:p>
        </w:tc>
        <w:tc>
          <w:tcPr>
            <w:tcW w:w="6667" w:type="dxa"/>
            <w:tcBorders>
              <w:top w:val="nil"/>
            </w:tcBorders>
            <w:vAlign w:val="center"/>
          </w:tcPr>
          <w:p>
            <w:pPr>
              <w:spacing w:line="360" w:lineRule="auto"/>
              <w:ind w:right="-670"/>
              <w:rPr>
                <w:rFonts w:ascii="宋体" w:hAnsi="宋体"/>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c>
          <w:tcPr>
            <w:tcW w:w="6667" w:type="dxa"/>
            <w:tcBorders>
              <w:top w:val="nil"/>
            </w:tcBorders>
            <w:vAlign w:val="center"/>
          </w:tcPr>
          <w:p>
            <w:pPr>
              <w:autoSpaceDE w:val="0"/>
              <w:autoSpaceDN w:val="0"/>
              <w:adjustRightInd w:val="0"/>
              <w:spacing w:line="360" w:lineRule="auto"/>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本项目采用固定费率招标，费率为90%（具体详见第四章招标需求）。</w:t>
            </w:r>
          </w:p>
        </w:tc>
      </w:tr>
    </w:tbl>
    <w:p>
      <w:pPr>
        <w:spacing w:before="100" w:beforeAutospacing="1" w:after="100" w:afterAutospacing="1"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投标人(公章)：                                           </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备注：表中最终投标报价即为优惠后报价，并作为评审及定标依据。任何有选择或有条件的最终投标报价，超过项目概算或者表中某一标段填写多个报价，均为无效报价。</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sz w:val="24"/>
          <w:szCs w:val="28"/>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67" w:name="_Hlt509739007"/>
      <w:bookmarkEnd w:id="167"/>
      <w:bookmarkStart w:id="168" w:name="_Toc3534695"/>
      <w:bookmarkStart w:id="169" w:name="_Toc27108"/>
      <w:bookmarkStart w:id="170" w:name="_Toc530641255"/>
      <w:bookmarkStart w:id="171" w:name="_Toc20723"/>
      <w:bookmarkStart w:id="172" w:name="_Toc528276345"/>
      <w:bookmarkStart w:id="173" w:name="_Toc29288"/>
      <w:bookmarkStart w:id="174" w:name="_Toc461103234"/>
      <w:bookmarkStart w:id="175" w:name="_Toc471736411"/>
      <w:bookmarkStart w:id="176" w:name="_Toc197934563"/>
      <w:r>
        <w:rPr>
          <w:rFonts w:hint="eastAsia" w:ascii="宋体" w:hAnsi="宋体"/>
          <w:b/>
          <w:bCs/>
          <w:color w:val="000000" w:themeColor="text1"/>
          <w:sz w:val="28"/>
          <w:szCs w:val="32"/>
          <w14:textFill>
            <w14:solidFill>
              <w14:schemeClr w14:val="tx1"/>
            </w14:solidFill>
          </w14:textFill>
        </w:rPr>
        <w:t>五．投标报价表</w:t>
      </w:r>
      <w:bookmarkEnd w:id="168"/>
      <w:bookmarkEnd w:id="169"/>
      <w:bookmarkEnd w:id="170"/>
      <w:bookmarkEnd w:id="171"/>
      <w:bookmarkEnd w:id="172"/>
      <w:bookmarkEnd w:id="173"/>
    </w:p>
    <w:p>
      <w:pPr>
        <w:spacing w:line="360" w:lineRule="auto"/>
        <w:ind w:firstLine="2891" w:firstLineChars="1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四、分项报价一览表（如有）</w:t>
      </w:r>
    </w:p>
    <w:tbl>
      <w:tblPr>
        <w:tblStyle w:val="6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245"/>
        <w:gridCol w:w="1276"/>
        <w:gridCol w:w="992"/>
        <w:gridCol w:w="1134"/>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spacing w:before="120" w:after="120"/>
              <w:rPr>
                <w:rFonts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序号</w:t>
            </w:r>
          </w:p>
        </w:tc>
        <w:tc>
          <w:tcPr>
            <w:tcW w:w="2245"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项目名称</w:t>
            </w:r>
          </w:p>
        </w:tc>
        <w:tc>
          <w:tcPr>
            <w:tcW w:w="1276"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单位</w:t>
            </w:r>
          </w:p>
        </w:tc>
        <w:tc>
          <w:tcPr>
            <w:tcW w:w="992"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数量</w:t>
            </w:r>
          </w:p>
        </w:tc>
        <w:tc>
          <w:tcPr>
            <w:tcW w:w="1134"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单价</w:t>
            </w:r>
          </w:p>
        </w:tc>
        <w:tc>
          <w:tcPr>
            <w:tcW w:w="1560"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小计</w:t>
            </w:r>
          </w:p>
        </w:tc>
        <w:tc>
          <w:tcPr>
            <w:tcW w:w="1417"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2245" w:type="dxa"/>
          </w:tcPr>
          <w:p>
            <w:pPr>
              <w:rPr>
                <w:rFonts w:ascii="宋体" w:hAnsi="宋体"/>
                <w:color w:val="000000" w:themeColor="text1"/>
                <w:sz w:val="24"/>
                <w14:textFill>
                  <w14:solidFill>
                    <w14:schemeClr w14:val="tx1"/>
                  </w14:solidFill>
                </w14:textFill>
              </w:rPr>
            </w:pP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2245" w:type="dxa"/>
            <w:vAlign w:val="center"/>
          </w:tcPr>
          <w:p>
            <w:pP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其他费用</w:t>
            </w: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2245"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2245" w:type="dxa"/>
          </w:tcPr>
          <w:p>
            <w:pPr>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w:t>
            </w: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2245"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2245" w:type="dxa"/>
            <w:vAlign w:val="center"/>
          </w:tcPr>
          <w:p>
            <w:pP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合计</w:t>
            </w:r>
          </w:p>
        </w:tc>
        <w:tc>
          <w:tcPr>
            <w:tcW w:w="1276" w:type="dxa"/>
          </w:tcPr>
          <w:p>
            <w:pPr>
              <w:rPr>
                <w:rFonts w:ascii="宋体" w:hAnsi="宋体"/>
                <w:color w:val="000000" w:themeColor="text1"/>
                <w:sz w:val="24"/>
                <w14:textFill>
                  <w14:solidFill>
                    <w14:schemeClr w14:val="tx1"/>
                  </w14:solidFill>
                </w14:textFill>
              </w:rPr>
            </w:pPr>
          </w:p>
        </w:tc>
        <w:tc>
          <w:tcPr>
            <w:tcW w:w="992" w:type="dxa"/>
          </w:tcPr>
          <w:p>
            <w:pPr>
              <w:rPr>
                <w:rFonts w:ascii="宋体" w:hAnsi="宋体"/>
                <w:color w:val="000000" w:themeColor="text1"/>
                <w:sz w:val="24"/>
                <w14:textFill>
                  <w14:solidFill>
                    <w14:schemeClr w14:val="tx1"/>
                  </w14:solidFill>
                </w14:textFill>
              </w:rPr>
            </w:pPr>
          </w:p>
        </w:tc>
        <w:tc>
          <w:tcPr>
            <w:tcW w:w="1134" w:type="dxa"/>
          </w:tcPr>
          <w:p>
            <w:pPr>
              <w:rPr>
                <w:rFonts w:ascii="宋体" w:hAnsi="宋体"/>
                <w:color w:val="000000" w:themeColor="text1"/>
                <w:sz w:val="24"/>
                <w14:textFill>
                  <w14:solidFill>
                    <w14:schemeClr w14:val="tx1"/>
                  </w14:solidFill>
                </w14:textFill>
              </w:rPr>
            </w:pPr>
          </w:p>
        </w:tc>
        <w:tc>
          <w:tcPr>
            <w:tcW w:w="1560" w:type="dxa"/>
          </w:tcPr>
          <w:p>
            <w:pPr>
              <w:rPr>
                <w:rFonts w:ascii="宋体" w:hAnsi="宋体"/>
                <w:color w:val="000000" w:themeColor="text1"/>
                <w:sz w:val="24"/>
                <w14:textFill>
                  <w14:solidFill>
                    <w14:schemeClr w14:val="tx1"/>
                  </w14:solidFill>
                </w14:textFill>
              </w:rPr>
            </w:pPr>
          </w:p>
        </w:tc>
        <w:tc>
          <w:tcPr>
            <w:tcW w:w="1417" w:type="dxa"/>
          </w:tcPr>
          <w:p>
            <w:pPr>
              <w:rPr>
                <w:rFonts w:ascii="宋体" w:hAnsi="宋体"/>
                <w:color w:val="000000" w:themeColor="text1"/>
                <w:sz w:val="24"/>
                <w14:textFill>
                  <w14:solidFill>
                    <w14:schemeClr w14:val="tx1"/>
                  </w14:solidFill>
                </w14:textFill>
              </w:rPr>
            </w:pPr>
          </w:p>
        </w:tc>
      </w:tr>
    </w:tbl>
    <w:p>
      <w:pPr>
        <w:spacing w:line="360" w:lineRule="auto"/>
        <w:ind w:firstLine="2891" w:firstLineChars="1200"/>
        <w:rPr>
          <w:rFonts w:ascii="宋体" w:hAnsi="宋体"/>
          <w:b/>
          <w:color w:val="000000" w:themeColor="text1"/>
          <w:sz w:val="24"/>
          <w14:textFill>
            <w14:solidFill>
              <w14:schemeClr w14:val="tx1"/>
            </w14:solidFill>
          </w14:textFill>
        </w:rPr>
      </w:pPr>
    </w:p>
    <w:p>
      <w:pPr>
        <w:spacing w:line="360" w:lineRule="auto"/>
        <w:rPr>
          <w:rFonts w:ascii="宋体" w:hAnsi="宋体"/>
          <w:bCs/>
          <w:color w:val="000000" w:themeColor="text1"/>
          <w:sz w:val="24"/>
          <w:szCs w:val="28"/>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投标人签章：</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77" w:name="_Toc23616"/>
      <w:r>
        <w:rPr>
          <w:rFonts w:hint="eastAsia" w:ascii="宋体" w:hAnsi="宋体"/>
          <w:b/>
          <w:bCs/>
          <w:color w:val="000000" w:themeColor="text1"/>
          <w:sz w:val="28"/>
          <w:szCs w:val="32"/>
          <w14:textFill>
            <w14:solidFill>
              <w14:schemeClr w14:val="tx1"/>
            </w14:solidFill>
          </w14:textFill>
        </w:rPr>
        <w:t>六．投标人信用承诺</w:t>
      </w:r>
      <w:bookmarkEnd w:id="174"/>
      <w:bookmarkEnd w:id="175"/>
      <w:bookmarkEnd w:id="177"/>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我公司申明，我公司无以下不良信用记录情形：</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1.公司被人民法院列入失信被执行人；</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2.公司、公司法定代表人被人民检察院列入行贿犯罪档案；</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3.公司被工商行政管理部门列入企业经营异常名录；</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4.公司被税务部门列入重大税收违法案件当事人名单的；</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 xml:space="preserve"> 参加本次投标活动前三年内，在服务活动中没有重大违法及安全事故记录</w:t>
      </w:r>
      <w:r>
        <w:rPr>
          <w:rFonts w:hint="eastAsia" w:ascii="宋体" w:hAnsi="宋体"/>
          <w:color w:val="000000" w:themeColor="text1"/>
          <w:sz w:val="24"/>
          <w14:textFill>
            <w14:solidFill>
              <w14:schemeClr w14:val="tx1"/>
            </w14:solidFill>
          </w14:textFill>
        </w:rPr>
        <w:t>。</w:t>
      </w:r>
    </w:p>
    <w:p>
      <w:pPr>
        <w:spacing w:line="360" w:lineRule="auto"/>
        <w:ind w:firstLine="63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我公司已就上述不良信用行为按照招标文件规定进行了查询，并在投标文件中如实提供查询截图及相关证明。我公司承诺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p>
      <w:pPr>
        <w:spacing w:line="360" w:lineRule="auto"/>
        <w:ind w:firstLine="630"/>
        <w:rPr>
          <w:rFonts w:ascii="宋体" w:hAnsi="宋体"/>
          <w:b/>
          <w:color w:val="000000" w:themeColor="text1"/>
          <w:sz w:val="24"/>
          <w14:textFill>
            <w14:solidFill>
              <w14:schemeClr w14:val="tx1"/>
            </w14:solidFill>
          </w14:textFill>
        </w:rPr>
      </w:pPr>
    </w:p>
    <w:bookmarkEnd w:id="176"/>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78" w:name="_Hlt509738950"/>
      <w:bookmarkEnd w:id="178"/>
      <w:bookmarkStart w:id="179" w:name="_Toc496587831"/>
      <w:bookmarkStart w:id="180" w:name="_Toc3532"/>
      <w:r>
        <w:rPr>
          <w:rFonts w:hint="eastAsia" w:ascii="宋体" w:hAnsi="宋体"/>
          <w:b/>
          <w:bCs/>
          <w:color w:val="000000" w:themeColor="text1"/>
          <w:sz w:val="28"/>
          <w:szCs w:val="32"/>
          <w14:textFill>
            <w14:solidFill>
              <w14:schemeClr w14:val="tx1"/>
            </w14:solidFill>
          </w14:textFill>
        </w:rPr>
        <w:t>七.</w:t>
      </w:r>
      <w:bookmarkEnd w:id="179"/>
      <w:r>
        <w:rPr>
          <w:rFonts w:hint="eastAsia" w:ascii="宋体" w:hAnsi="宋体"/>
          <w:b/>
          <w:bCs/>
          <w:color w:val="000000" w:themeColor="text1"/>
          <w:sz w:val="28"/>
          <w:szCs w:val="32"/>
          <w14:textFill>
            <w14:solidFill>
              <w14:schemeClr w14:val="tx1"/>
            </w14:solidFill>
          </w14:textFill>
        </w:rPr>
        <w:t xml:space="preserve"> 投标业绩</w:t>
      </w:r>
      <w:bookmarkEnd w:id="180"/>
    </w:p>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（一）业绩表</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（格式仅供参考）</w:t>
      </w:r>
    </w:p>
    <w:tbl>
      <w:tblPr>
        <w:tblStyle w:val="6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4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559"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2410" w:type="dxa"/>
            <w:vAlign w:val="center"/>
          </w:tcPr>
          <w:p>
            <w:pPr>
              <w:widowControl/>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服务内容</w:t>
            </w:r>
          </w:p>
        </w:tc>
        <w:tc>
          <w:tcPr>
            <w:tcW w:w="1559"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合同总金额</w:t>
            </w:r>
          </w:p>
        </w:tc>
        <w:tc>
          <w:tcPr>
            <w:tcW w:w="1701"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业主单位</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及联系电话</w:t>
            </w:r>
          </w:p>
        </w:tc>
        <w:tc>
          <w:tcPr>
            <w:tcW w:w="1134"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09" w:type="dxa"/>
            <w:gridSpan w:val="6"/>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559"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701"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6"/>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评审业绩（打分业绩）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559"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701"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p>
        </w:tc>
        <w:tc>
          <w:tcPr>
            <w:tcW w:w="1559"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701"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360" w:lineRule="auto"/>
              <w:jc w:val="center"/>
              <w:rPr>
                <w:rFonts w:ascii="宋体" w:hAnsi="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701"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olor w:val="000000" w:themeColor="text1"/>
                <w:sz w:val="24"/>
                <w:szCs w:val="24"/>
                <w14:textFill>
                  <w14:solidFill>
                    <w14:schemeClr w14:val="tx1"/>
                  </w14:solidFill>
                </w14:textFill>
              </w:rPr>
            </w:pPr>
          </w:p>
        </w:tc>
      </w:tr>
    </w:tbl>
    <w:p>
      <w:pPr>
        <w:spacing w:before="48" w:beforeLines="20" w:after="48" w:afterLines="20" w:line="360" w:lineRule="auto"/>
        <w:rPr>
          <w:rFonts w:ascii="宋体" w:hAnsi="宋体"/>
          <w:color w:val="000000" w:themeColor="text1"/>
          <w:sz w:val="28"/>
          <w14:textFill>
            <w14:solidFill>
              <w14:schemeClr w14:val="tx1"/>
            </w14:solidFill>
          </w14:textFill>
        </w:rPr>
      </w:pPr>
    </w:p>
    <w:p>
      <w:pPr>
        <w:spacing w:before="48" w:beforeLines="20" w:after="48" w:afterLines="20"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（二）业绩证明材料</w:t>
      </w: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（建议与上述“（一）业绩表”填写的业绩一一对应提供）</w:t>
      </w: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6"/>
          <w14:textFill>
            <w14:solidFill>
              <w14:schemeClr w14:val="tx1"/>
            </w14:solidFill>
          </w14:textFill>
        </w:rPr>
      </w:pPr>
      <w:bookmarkStart w:id="181" w:name="_Toc496587832"/>
      <w:bookmarkStart w:id="182" w:name="_Toc471675527"/>
      <w:bookmarkStart w:id="183" w:name="_Toc30494"/>
      <w:r>
        <w:rPr>
          <w:rFonts w:hint="eastAsia" w:ascii="宋体" w:hAnsi="宋体"/>
          <w:b/>
          <w:bCs/>
          <w:color w:val="000000" w:themeColor="text1"/>
          <w:sz w:val="28"/>
          <w:szCs w:val="32"/>
          <w14:textFill>
            <w14:solidFill>
              <w14:schemeClr w14:val="tx1"/>
            </w14:solidFill>
          </w14:textFill>
        </w:rPr>
        <w:t>八．拟投入本项目的人员情况</w:t>
      </w:r>
      <w:bookmarkEnd w:id="181"/>
      <w:bookmarkEnd w:id="182"/>
      <w:bookmarkEnd w:id="183"/>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投标人可自行制作格式</w:t>
      </w:r>
      <w:r>
        <w:rPr>
          <w:rFonts w:hint="eastAsia" w:ascii="宋体" w:hAnsi="宋体"/>
          <w:color w:val="000000" w:themeColor="text1"/>
          <w:sz w:val="24"/>
          <w14:textFill>
            <w14:solidFill>
              <w14:schemeClr w14:val="tx1"/>
            </w14:solidFill>
          </w14:textFill>
        </w:rPr>
        <w:t>，应能体现出所有招标文件要求的内容，并附相关证明材料（扫描件）。</w:t>
      </w:r>
    </w:p>
    <w:p>
      <w:pPr>
        <w:keepNext/>
        <w:keepLines/>
        <w:spacing w:before="260" w:after="260" w:line="416" w:lineRule="auto"/>
        <w:jc w:val="center"/>
        <w:outlineLvl w:val="2"/>
        <w:rPr>
          <w:rFonts w:ascii="宋体" w:hAnsi="宋体"/>
          <w:b/>
          <w:bCs/>
          <w:color w:val="000000" w:themeColor="text1"/>
          <w:sz w:val="28"/>
          <w:szCs w:val="36"/>
          <w14:textFill>
            <w14:solidFill>
              <w14:schemeClr w14:val="tx1"/>
            </w14:solidFill>
          </w14:textFill>
        </w:rPr>
      </w:pPr>
      <w:bookmarkStart w:id="184" w:name="_Toc496587833"/>
      <w:bookmarkStart w:id="185" w:name="_Toc471675528"/>
      <w:bookmarkStart w:id="186" w:name="_Toc1782"/>
      <w:r>
        <w:rPr>
          <w:rFonts w:hint="eastAsia" w:ascii="宋体" w:hAnsi="宋体"/>
          <w:b/>
          <w:bCs/>
          <w:color w:val="000000" w:themeColor="text1"/>
          <w:sz w:val="28"/>
          <w:szCs w:val="32"/>
          <w14:textFill>
            <w14:solidFill>
              <w14:schemeClr w14:val="tx1"/>
            </w14:solidFill>
          </w14:textFill>
        </w:rPr>
        <w:t>九．服务方案</w:t>
      </w:r>
      <w:bookmarkEnd w:id="184"/>
      <w:bookmarkEnd w:id="185"/>
      <w:bookmarkEnd w:id="186"/>
    </w:p>
    <w:p>
      <w:pPr>
        <w:spacing w:before="48" w:beforeLines="20" w:after="48" w:afterLines="20" w:line="360" w:lineRule="auto"/>
        <w:jc w:val="center"/>
        <w:rPr>
          <w:rFonts w:ascii="宋体" w:hAnsi="宋体"/>
          <w:color w:val="000000" w:themeColor="text1"/>
          <w:sz w:val="28"/>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（投标人可自行制作格式）</w:t>
      </w:r>
    </w:p>
    <w:p>
      <w:pPr>
        <w:keepNext/>
        <w:keepLines/>
        <w:spacing w:before="260" w:after="260" w:line="416" w:lineRule="auto"/>
        <w:jc w:val="center"/>
        <w:outlineLvl w:val="2"/>
        <w:rPr>
          <w:rFonts w:ascii="宋体" w:hAnsi="宋体"/>
          <w:b/>
          <w:bCs/>
          <w:color w:val="000000" w:themeColor="text1"/>
          <w:sz w:val="28"/>
          <w:szCs w:val="36"/>
          <w14:textFill>
            <w14:solidFill>
              <w14:schemeClr w14:val="tx1"/>
            </w14:solidFill>
          </w14:textFill>
        </w:rPr>
      </w:pPr>
      <w:bookmarkStart w:id="187" w:name="_Toc496587834"/>
      <w:bookmarkStart w:id="188" w:name="_Toc25329"/>
      <w:r>
        <w:rPr>
          <w:rFonts w:hint="eastAsia" w:ascii="宋体" w:hAnsi="宋体"/>
          <w:b/>
          <w:bCs/>
          <w:color w:val="000000" w:themeColor="text1"/>
          <w:sz w:val="28"/>
          <w:szCs w:val="32"/>
          <w14:textFill>
            <w14:solidFill>
              <w14:schemeClr w14:val="tx1"/>
            </w14:solidFill>
          </w14:textFill>
        </w:rPr>
        <w:t>十．有关证明文件</w:t>
      </w:r>
      <w:bookmarkEnd w:id="187"/>
      <w:bookmarkEnd w:id="188"/>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提供符合投标邀请（招标公告）、招标需求及评标办法规定的相关证明文件（制作成扫描件）。</w:t>
      </w:r>
    </w:p>
    <w:p>
      <w:pPr>
        <w:snapToGrid w:val="0"/>
        <w:spacing w:before="120" w:after="120" w:line="360" w:lineRule="auto"/>
        <w:ind w:firstLine="480"/>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特别提示：</w:t>
      </w:r>
    </w:p>
    <w:p>
      <w:pPr>
        <w:snapToGrid w:val="0"/>
        <w:spacing w:line="360" w:lineRule="auto"/>
        <w:ind w:firstLine="482"/>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投标人在投标文件制作时，在此栏内上传下列材料（包括但不限于）：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，如营业执照、税务登记证、业绩、相关证书、证明资料等，</w:t>
      </w:r>
      <w:r>
        <w:rPr>
          <w:rFonts w:hint="eastAsia" w:ascii="宋体" w:hAnsi="宋体"/>
          <w:color w:val="000000" w:themeColor="text1"/>
          <w:sz w:val="24"/>
          <w14:textFill>
            <w14:solidFill>
              <w14:schemeClr w14:val="tx1"/>
            </w14:solidFill>
          </w14:textFill>
        </w:rPr>
        <w:t>应将上述证明材料制作成扫描件。</w:t>
      </w: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89" w:name="_Toc8103"/>
      <w:bookmarkStart w:id="190" w:name="_Toc508363608"/>
      <w:bookmarkStart w:id="191" w:name="_Hlt510342906"/>
      <w:bookmarkStart w:id="192" w:name="_Toc220232401"/>
      <w:bookmarkStart w:id="193" w:name="_Toc516969104"/>
      <w:bookmarkStart w:id="194" w:name="_Toc471736417"/>
      <w:r>
        <w:rPr>
          <w:rFonts w:hint="eastAsia" w:ascii="宋体" w:hAnsi="宋体"/>
          <w:b/>
          <w:bCs/>
          <w:color w:val="000000" w:themeColor="text1"/>
          <w:sz w:val="28"/>
          <w:szCs w:val="32"/>
          <w14:textFill>
            <w14:solidFill>
              <w14:schemeClr w14:val="tx1"/>
            </w14:solidFill>
          </w14:textFill>
        </w:rPr>
        <w:t>十一．投标授权书</w:t>
      </w:r>
      <w:bookmarkEnd w:id="189"/>
    </w:p>
    <w:p>
      <w:pPr>
        <w:snapToGrid w:val="0"/>
        <w:spacing w:line="360" w:lineRule="auto"/>
        <w:ind w:firstLine="480" w:firstLineChars="200"/>
        <w:jc w:val="left"/>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本授权书声明：</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公司授权</w:t>
      </w:r>
      <w:r>
        <w:rPr>
          <w:rFonts w:hint="eastAsia" w:ascii="宋体" w:hAnsi="宋体"/>
          <w:color w:val="000000" w:themeColor="text1"/>
          <w:sz w:val="24"/>
          <w:szCs w:val="28"/>
          <w:u w:val="single"/>
          <w14:textFill>
            <w14:solidFill>
              <w14:schemeClr w14:val="tx1"/>
            </w14:solidFill>
          </w14:textFill>
        </w:rPr>
        <w:t xml:space="preserve">       </w:t>
      </w:r>
      <w:r>
        <w:rPr>
          <w:rFonts w:hint="eastAsia" w:ascii="宋体" w:hAnsi="宋体"/>
          <w:color w:val="000000" w:themeColor="text1"/>
          <w:sz w:val="24"/>
          <w:szCs w:val="28"/>
          <w14:textFill>
            <w14:solidFill>
              <w14:schemeClr w14:val="tx1"/>
            </w14:solidFill>
          </w14:textFill>
        </w:rPr>
        <w:t>（投标人授权代表姓名、职务，手机号码）代表本公司参加合肥文旅博览集团有限公司</w:t>
      </w:r>
      <w:r>
        <w:rPr>
          <w:rFonts w:hint="eastAsia" w:ascii="宋体" w:hAnsi="宋体"/>
          <w:b/>
          <w:color w:val="000000" w:themeColor="text1"/>
          <w:sz w:val="24"/>
          <w:szCs w:val="28"/>
          <w:u w:val="single"/>
          <w14:textFill>
            <w14:solidFill>
              <w14:schemeClr w14:val="tx1"/>
            </w14:solidFill>
          </w14:textFill>
        </w:rPr>
        <w:t xml:space="preserve">                   </w:t>
      </w:r>
      <w:r>
        <w:rPr>
          <w:rFonts w:hint="eastAsia" w:ascii="宋体" w:hAnsi="宋体"/>
          <w:bCs/>
          <w:color w:val="000000" w:themeColor="text1"/>
          <w:sz w:val="24"/>
          <w:szCs w:val="28"/>
          <w14:textFill>
            <w14:solidFill>
              <w14:schemeClr w14:val="tx1"/>
            </w14:solidFill>
          </w14:textFill>
        </w:rPr>
        <w:t>招标活动（项目编号：</w:t>
      </w:r>
      <w:r>
        <w:rPr>
          <w:rFonts w:hint="eastAsia" w:ascii="宋体" w:hAnsi="宋体"/>
          <w:b/>
          <w:color w:val="000000" w:themeColor="text1"/>
          <w:sz w:val="24"/>
          <w:szCs w:val="28"/>
          <w14:textFill>
            <w14:solidFill>
              <w14:schemeClr w14:val="tx1"/>
            </w14:solidFill>
          </w14:textFill>
        </w:rPr>
        <w:t xml:space="preserve">       </w:t>
      </w:r>
      <w:r>
        <w:rPr>
          <w:rFonts w:hint="eastAsia" w:ascii="宋体" w:hAnsi="宋体"/>
          <w:bCs/>
          <w:color w:val="000000" w:themeColor="text1"/>
          <w:sz w:val="24"/>
          <w:szCs w:val="28"/>
          <w14:textFill>
            <w14:solidFill>
              <w14:schemeClr w14:val="tx1"/>
            </w14:solidFill>
          </w14:textFill>
        </w:rPr>
        <w:t>）</w:t>
      </w:r>
      <w:r>
        <w:rPr>
          <w:rFonts w:hint="eastAsia" w:ascii="宋体"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12065" b="10795"/>
                <wp:wrapNone/>
                <wp:docPr id="4"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1" name="自选图形 67"/>
                        <wps:cNvSpPr/>
                        <wps:spPr>
                          <a:xfrm>
                            <a:off x="3270"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wps:wsp>
                        <wps:cNvPr id="2" name="自选图形 68"/>
                        <wps:cNvSpPr/>
                        <wps:spPr>
                          <a:xfrm>
                            <a:off x="6555"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FF0000"/>
                                  <w:szCs w:val="21"/>
                                </w:rPr>
                              </w:pPr>
                            </w:p>
                          </w:txbxContent>
                        </wps:txbx>
                        <wps:bodyPr upright="1"/>
                      </wps:wsp>
                    </wpg:wgp>
                  </a:graphicData>
                </a:graphic>
              </wp:anchor>
            </w:drawing>
          </mc:Choice>
          <mc:Fallback>
            <w:pict>
              <v:group id="组合 1" o:spid="_x0000_s1026" o:spt="203" style="position:absolute;left:0pt;margin-left:91.4pt;margin-top:20.1pt;height:57.3pt;width:303.95pt;z-index:251660288;mso-width-relative:page;mso-height-relative:page;" coordorigin="3270,4350" coordsize="6079,1146"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fkG2w9kAAAAKAQAADwAAAAAAAAAB&#10;ACAAAAAiAAAAZHJzL2Rvd25yZXYueG1sUEsBAhQAFAAAAAgAh07iQAoA+1y6AgAAAggAAA4AAAAA&#10;AAAAAQAgAAAAKAEAAGRycy9lMm9Eb2MueG1sUEsFBgAAAAAGAAYAWQEAAFQGAAAAAA==&#10;">
                <o:lock v:ext="edit" aspectratio="f"/>
                <v:roundrect id="自选图形 67" o:spid="_x0000_s1026" o:spt="2" style="position:absolute;left:3270;top:4350;height:1146;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txbxContent>
                  </v:textbox>
                </v:roundrect>
                <v:roundrect id="自选图形 68" o:spid="_x0000_s1026" o:spt="2" style="position:absolute;left:6555;top:4350;height:1146;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color w:val="FF0000"/>
                            <w:szCs w:val="21"/>
                          </w:rPr>
                        </w:pP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r>
        <w:rPr>
          <w:rFonts w:hint="eastAsia" w:ascii="宋体" w:hAnsi="宋体"/>
          <w:b/>
          <w:bCs/>
          <w:color w:val="000000" w:themeColor="text1"/>
          <w:sz w:val="24"/>
          <w:szCs w:val="28"/>
          <w:u w:val="single"/>
          <w14:textFill>
            <w14:solidFill>
              <w14:schemeClr w14:val="tx1"/>
            </w14:solidFill>
          </w14:textFill>
        </w:rPr>
        <w:t xml:space="preserve">                    </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r>
        <w:rPr>
          <w:rFonts w:hint="eastAsia" w:ascii="宋体" w:hAnsi="宋体"/>
          <w:color w:val="000000" w:themeColor="text1"/>
          <w:sz w:val="24"/>
          <w:szCs w:val="28"/>
          <w:u w:val="single"/>
          <w14:textFill>
            <w14:solidFill>
              <w14:schemeClr w14:val="tx1"/>
            </w14:solidFill>
          </w14:textFill>
        </w:rPr>
        <w:t xml:space="preserve">                   </w:t>
      </w:r>
    </w:p>
    <w:p>
      <w:pPr>
        <w:rPr>
          <w:rFonts w:ascii="宋体" w:hAnsi="宋体"/>
          <w:color w:val="000000" w:themeColor="text1"/>
          <w:sz w:val="28"/>
          <w:szCs w:val="28"/>
          <w14:textFill>
            <w14:solidFill>
              <w14:schemeClr w14:val="tx1"/>
            </w14:solidFill>
          </w14:textFill>
        </w:rPr>
      </w:pPr>
    </w:p>
    <w:p>
      <w:pPr>
        <w:snapToGrid w:val="0"/>
        <w:spacing w:line="360" w:lineRule="auto"/>
        <w:jc w:val="left"/>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注：</w:t>
      </w:r>
    </w:p>
    <w:p>
      <w:pPr>
        <w:snapToGrid w:val="0"/>
        <w:spacing w:line="360" w:lineRule="auto"/>
        <w:jc w:val="left"/>
        <w:rPr>
          <w:rFonts w:ascii="宋体" w:hAnsi="宋体"/>
          <w:color w:val="000000" w:themeColor="text1"/>
          <w:sz w:val="24"/>
          <w:szCs w:val="28"/>
          <w14:textFill>
            <w14:solidFill>
              <w14:schemeClr w14:val="tx1"/>
            </w14:solidFill>
          </w14:textFill>
        </w:rPr>
      </w:pPr>
      <w:bookmarkStart w:id="195" w:name="_Toc471736421"/>
      <w:bookmarkStart w:id="196" w:name="_Toc220232403"/>
      <w:r>
        <w:rPr>
          <w:rFonts w:hint="eastAsia" w:ascii="宋体"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ascii="宋体" w:hAnsi="宋体"/>
          <w:color w:val="000000" w:themeColor="text1"/>
          <w:sz w:val="24"/>
          <w:szCs w:val="20"/>
          <w14:textFill>
            <w14:solidFill>
              <w14:schemeClr w14:val="tx1"/>
            </w14:solidFill>
          </w14:textFill>
        </w:rPr>
        <w:t>扫描件</w:t>
      </w:r>
      <w:r>
        <w:rPr>
          <w:rFonts w:hint="eastAsia" w:ascii="宋体" w:hAnsi="宋体"/>
          <w:color w:val="000000" w:themeColor="text1"/>
          <w:sz w:val="24"/>
          <w:szCs w:val="28"/>
          <w14:textFill>
            <w14:solidFill>
              <w14:schemeClr w14:val="tx1"/>
            </w14:solidFill>
          </w14:textFill>
        </w:rPr>
        <w:t>。</w:t>
      </w:r>
    </w:p>
    <w:p>
      <w:pPr>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2.法定代表人参加投标的无需此件，</w:t>
      </w:r>
      <w:r>
        <w:rPr>
          <w:rFonts w:hint="eastAsia" w:ascii="宋体" w:hAnsi="宋体"/>
          <w:color w:val="000000" w:themeColor="text1"/>
          <w:sz w:val="24"/>
          <w:szCs w:val="20"/>
          <w14:textFill>
            <w14:solidFill>
              <w14:schemeClr w14:val="tx1"/>
            </w14:solidFill>
          </w14:textFill>
        </w:rPr>
        <w:t>但投标文件中须提供身份证扫描件。</w:t>
      </w:r>
    </w:p>
    <w:bookmarkEnd w:id="195"/>
    <w:bookmarkEnd w:id="196"/>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bookmarkEnd w:id="190"/>
    <w:bookmarkEnd w:id="191"/>
    <w:bookmarkEnd w:id="192"/>
    <w:bookmarkEnd w:id="193"/>
    <w:bookmarkEnd w:id="194"/>
    <w:p>
      <w:pPr>
        <w:spacing w:line="500" w:lineRule="exact"/>
        <w:jc w:val="center"/>
        <w:rPr>
          <w:rFonts w:ascii="宋体" w:hAnsi="宋体"/>
          <w:b/>
          <w:bCs/>
          <w:color w:val="000000" w:themeColor="text1"/>
          <w:sz w:val="30"/>
          <w14:textFill>
            <w14:solidFill>
              <w14:schemeClr w14:val="tx1"/>
            </w14:solidFill>
          </w14:textFill>
        </w:rPr>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97" w:name="_Toc459990157"/>
      <w:bookmarkStart w:id="198" w:name="_Toc420342108"/>
      <w:bookmarkStart w:id="199" w:name="_Toc391040781"/>
      <w:bookmarkStart w:id="200" w:name="_Toc390243258"/>
      <w:bookmarkStart w:id="201" w:name="_Toc471736427"/>
      <w:bookmarkStart w:id="202" w:name="_Toc517681252"/>
      <w:bookmarkStart w:id="203" w:name="_Toc24064"/>
      <w:r>
        <w:rPr>
          <w:rFonts w:hint="eastAsia" w:ascii="宋体" w:hAnsi="宋体"/>
          <w:b/>
          <w:bCs/>
          <w:color w:val="000000" w:themeColor="text1"/>
          <w:sz w:val="28"/>
          <w:szCs w:val="32"/>
          <w14:textFill>
            <w14:solidFill>
              <w14:schemeClr w14:val="tx1"/>
            </w14:solidFill>
          </w14:textFill>
        </w:rPr>
        <w:t>十二．</w:t>
      </w:r>
      <w:bookmarkEnd w:id="197"/>
      <w:bookmarkEnd w:id="198"/>
      <w:bookmarkEnd w:id="199"/>
      <w:bookmarkEnd w:id="200"/>
      <w:bookmarkEnd w:id="201"/>
      <w:bookmarkStart w:id="204" w:name="_Toc471733801"/>
      <w:bookmarkStart w:id="205" w:name="_Toc389124158"/>
      <w:bookmarkStart w:id="206" w:name="_Toc471736430"/>
      <w:r>
        <w:rPr>
          <w:rFonts w:hint="eastAsia" w:ascii="宋体" w:hAnsi="宋体"/>
          <w:b/>
          <w:bCs/>
          <w:color w:val="000000" w:themeColor="text1"/>
          <w:sz w:val="28"/>
          <w:szCs w:val="32"/>
          <w14:textFill>
            <w14:solidFill>
              <w14:schemeClr w14:val="tx1"/>
            </w14:solidFill>
          </w14:textFill>
        </w:rPr>
        <w:t>投标人认为需提供的其他资料</w:t>
      </w:r>
      <w:bookmarkEnd w:id="202"/>
      <w:bookmarkEnd w:id="203"/>
      <w:bookmarkEnd w:id="204"/>
      <w:bookmarkEnd w:id="205"/>
      <w:bookmarkEnd w:id="206"/>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30"/>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投标人可自行制作格式</w:t>
      </w:r>
      <w:r>
        <w:rPr>
          <w:rFonts w:hint="eastAsia" w:ascii="宋体" w:hAnsi="宋体"/>
          <w:b/>
          <w:bCs/>
          <w:color w:val="000000" w:themeColor="text1"/>
          <w:sz w:val="24"/>
          <w:szCs w:val="24"/>
          <w14:textFill>
            <w14:solidFill>
              <w14:schemeClr w14:val="tx1"/>
            </w14:solidFill>
          </w14:textFill>
        </w:rPr>
        <w:t>）</w:t>
      </w: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before="240" w:beforeLines="100" w:after="240" w:afterLines="100"/>
        <w:jc w:val="center"/>
        <w:rPr>
          <w:rFonts w:ascii="宋体" w:hAnsi="宋体"/>
          <w:color w:val="000000" w:themeColor="text1"/>
          <w:sz w:val="30"/>
          <w:szCs w:val="30"/>
          <w14:textFill>
            <w14:solidFill>
              <w14:schemeClr w14:val="tx1"/>
            </w14:solidFill>
          </w14:textFill>
        </w:rPr>
      </w:pPr>
    </w:p>
    <w:p>
      <w:pPr>
        <w:pStyle w:val="4"/>
        <w:spacing w:before="0" w:line="500" w:lineRule="exact"/>
        <w:ind w:firstLine="0"/>
        <w:rPr>
          <w:rFonts w:ascii="宋体" w:hAnsi="宋体"/>
          <w:color w:val="000000" w:themeColor="text1"/>
          <w:sz w:val="30"/>
          <w:szCs w:val="30"/>
          <w14:textFill>
            <w14:solidFill>
              <w14:schemeClr w14:val="tx1"/>
            </w14:solidFill>
          </w14:textFill>
        </w:rPr>
      </w:pPr>
    </w:p>
    <w:sectPr>
      <w:headerReference r:id="rId6" w:type="default"/>
      <w:footerReference r:id="rId7" w:type="default"/>
      <w:footerReference r:id="rId8" w:type="even"/>
      <w:footnotePr>
        <w:numFmt w:val="decimalEnclosedCircleChinese"/>
        <w:numRestart w:val="eachPage"/>
      </w:footnotePr>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Segoe Print"/>
    <w:panose1 w:val="000000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auto"/>
    <w:pitch w:val="default"/>
    <w:sig w:usb0="00000000" w:usb1="00000000" w:usb2="000A005E"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78</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2"/>
      </w:rPr>
    </w:pPr>
    <w:r>
      <w:fldChar w:fldCharType="begin"/>
    </w:r>
    <w:r>
      <w:rPr>
        <w:rStyle w:val="72"/>
      </w:rPr>
      <w:instrText xml:space="preserve">PAGE  </w:instrText>
    </w:r>
    <w: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78</w:t>
    </w:r>
    <w:r>
      <w:rPr>
        <w:b/>
        <w:bCs/>
        <w:sz w:val="24"/>
        <w:szCs w:val="24"/>
      </w:rPr>
      <w:fldChar w:fldCharType="end"/>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2"/>
      </w:rPr>
    </w:pPr>
    <w:r>
      <w:fldChar w:fldCharType="begin"/>
    </w:r>
    <w:r>
      <w:rPr>
        <w:rStyle w:val="72"/>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ascii="宋体" w:hAnsi="宋体"/>
        <w:b/>
        <w:i/>
        <w:sz w:val="24"/>
      </w:rPr>
    </w:pPr>
    <w:r>
      <w:rPr>
        <w:rFonts w:hint="eastAsia"/>
      </w:rPr>
      <w:t xml:space="preserve">合肥文旅博览集团有限公司招标文件-工程类（适用于综合评分法）                     </w:t>
    </w:r>
    <w:r>
      <w:t>2022</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pPr>
    <w:r>
      <w:rPr>
        <w:rFonts w:hint="eastAsia" w:ascii="宋体" w:hAnsi="宋体"/>
        <w:spacing w:val="20"/>
        <w:kern w:val="0"/>
      </w:rPr>
      <w:t>合肥市文旅博览集团有限公司招标文件-工程类</w:t>
    </w:r>
    <w:r>
      <w:rPr>
        <w:rFonts w:hint="eastAsia"/>
      </w:rPr>
      <w:t xml:space="preserve">                                2020版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AFD46"/>
    <w:multiLevelType w:val="singleLevel"/>
    <w:tmpl w:val="849AFD46"/>
    <w:lvl w:ilvl="0" w:tentative="0">
      <w:start w:val="1"/>
      <w:numFmt w:val="decimal"/>
      <w:suff w:val="nothing"/>
      <w:lvlText w:val="%1、"/>
      <w:lvlJc w:val="left"/>
    </w:lvl>
  </w:abstractNum>
  <w:abstractNum w:abstractNumId="1">
    <w:nsid w:val="9239341B"/>
    <w:multiLevelType w:val="multilevel"/>
    <w:tmpl w:val="9239341B"/>
    <w:lvl w:ilvl="0" w:tentative="0">
      <w:start w:val="1"/>
      <w:numFmt w:val="decimal"/>
      <w:lvlText w:val="%1."/>
      <w:lvlJc w:val="left"/>
      <w:pPr>
        <w:ind w:left="109" w:hanging="183"/>
      </w:pPr>
      <w:rPr>
        <w:rFonts w:hint="default" w:ascii="宋体" w:hAnsi="宋体" w:eastAsia="宋体" w:cs="宋体"/>
        <w:spacing w:val="1"/>
        <w:w w:val="100"/>
        <w:sz w:val="24"/>
        <w:szCs w:val="24"/>
        <w:lang w:val="zh-CN" w:eastAsia="zh-CN" w:bidi="zh-CN"/>
      </w:rPr>
    </w:lvl>
    <w:lvl w:ilvl="1" w:tentative="0">
      <w:start w:val="0"/>
      <w:numFmt w:val="bullet"/>
      <w:lvlText w:val="•"/>
      <w:lvlJc w:val="left"/>
      <w:pPr>
        <w:ind w:left="934" w:hanging="183"/>
      </w:pPr>
      <w:rPr>
        <w:rFonts w:hint="default"/>
        <w:lang w:val="zh-CN" w:eastAsia="zh-CN" w:bidi="zh-CN"/>
      </w:rPr>
    </w:lvl>
    <w:lvl w:ilvl="2" w:tentative="0">
      <w:start w:val="0"/>
      <w:numFmt w:val="bullet"/>
      <w:lvlText w:val="•"/>
      <w:lvlJc w:val="left"/>
      <w:pPr>
        <w:ind w:left="1769" w:hanging="183"/>
      </w:pPr>
      <w:rPr>
        <w:rFonts w:hint="default"/>
        <w:lang w:val="zh-CN" w:eastAsia="zh-CN" w:bidi="zh-CN"/>
      </w:rPr>
    </w:lvl>
    <w:lvl w:ilvl="3" w:tentative="0">
      <w:start w:val="0"/>
      <w:numFmt w:val="bullet"/>
      <w:lvlText w:val="•"/>
      <w:lvlJc w:val="left"/>
      <w:pPr>
        <w:ind w:left="2603" w:hanging="183"/>
      </w:pPr>
      <w:rPr>
        <w:rFonts w:hint="default"/>
        <w:lang w:val="zh-CN" w:eastAsia="zh-CN" w:bidi="zh-CN"/>
      </w:rPr>
    </w:lvl>
    <w:lvl w:ilvl="4" w:tentative="0">
      <w:start w:val="0"/>
      <w:numFmt w:val="bullet"/>
      <w:lvlText w:val="•"/>
      <w:lvlJc w:val="left"/>
      <w:pPr>
        <w:ind w:left="3438" w:hanging="183"/>
      </w:pPr>
      <w:rPr>
        <w:rFonts w:hint="default"/>
        <w:lang w:val="zh-CN" w:eastAsia="zh-CN" w:bidi="zh-CN"/>
      </w:rPr>
    </w:lvl>
    <w:lvl w:ilvl="5" w:tentative="0">
      <w:start w:val="0"/>
      <w:numFmt w:val="bullet"/>
      <w:lvlText w:val="•"/>
      <w:lvlJc w:val="left"/>
      <w:pPr>
        <w:ind w:left="4272" w:hanging="183"/>
      </w:pPr>
      <w:rPr>
        <w:rFonts w:hint="default"/>
        <w:lang w:val="zh-CN" w:eastAsia="zh-CN" w:bidi="zh-CN"/>
      </w:rPr>
    </w:lvl>
    <w:lvl w:ilvl="6" w:tentative="0">
      <w:start w:val="0"/>
      <w:numFmt w:val="bullet"/>
      <w:lvlText w:val="•"/>
      <w:lvlJc w:val="left"/>
      <w:pPr>
        <w:ind w:left="5107" w:hanging="183"/>
      </w:pPr>
      <w:rPr>
        <w:rFonts w:hint="default"/>
        <w:lang w:val="zh-CN" w:eastAsia="zh-CN" w:bidi="zh-CN"/>
      </w:rPr>
    </w:lvl>
    <w:lvl w:ilvl="7" w:tentative="0">
      <w:start w:val="0"/>
      <w:numFmt w:val="bullet"/>
      <w:lvlText w:val="•"/>
      <w:lvlJc w:val="left"/>
      <w:pPr>
        <w:ind w:left="5941" w:hanging="183"/>
      </w:pPr>
      <w:rPr>
        <w:rFonts w:hint="default"/>
        <w:lang w:val="zh-CN" w:eastAsia="zh-CN" w:bidi="zh-CN"/>
      </w:rPr>
    </w:lvl>
    <w:lvl w:ilvl="8" w:tentative="0">
      <w:start w:val="0"/>
      <w:numFmt w:val="bullet"/>
      <w:lvlText w:val="•"/>
      <w:lvlJc w:val="left"/>
      <w:pPr>
        <w:ind w:left="6776" w:hanging="183"/>
      </w:pPr>
      <w:rPr>
        <w:rFonts w:hint="default"/>
        <w:lang w:val="zh-CN" w:eastAsia="zh-CN" w:bidi="zh-CN"/>
      </w:rPr>
    </w:lvl>
  </w:abstractNum>
  <w:abstractNum w:abstractNumId="2">
    <w:nsid w:val="BBE4DA8C"/>
    <w:multiLevelType w:val="singleLevel"/>
    <w:tmpl w:val="BBE4DA8C"/>
    <w:lvl w:ilvl="0" w:tentative="0">
      <w:start w:val="2"/>
      <w:numFmt w:val="decimal"/>
      <w:suff w:val="nothing"/>
      <w:lvlText w:val="%1、"/>
      <w:lvlJc w:val="left"/>
    </w:lvl>
  </w:abstractNum>
  <w:abstractNum w:abstractNumId="3">
    <w:nsid w:val="0DF56CAC"/>
    <w:multiLevelType w:val="singleLevel"/>
    <w:tmpl w:val="0DF56CAC"/>
    <w:lvl w:ilvl="0" w:tentative="0">
      <w:start w:val="1"/>
      <w:numFmt w:val="decimal"/>
      <w:suff w:val="nothing"/>
      <w:lvlText w:val="%1．"/>
      <w:lvlJc w:val="left"/>
      <w:pPr>
        <w:ind w:left="0" w:firstLine="400"/>
      </w:pPr>
      <w:rPr>
        <w:rFonts w:hint="default"/>
      </w:rPr>
    </w:lvl>
  </w:abstractNum>
  <w:abstractNum w:abstractNumId="4">
    <w:nsid w:val="7BC5365E"/>
    <w:multiLevelType w:val="singleLevel"/>
    <w:tmpl w:val="7BC5365E"/>
    <w:lvl w:ilvl="0" w:tentative="0">
      <w:start w:val="1"/>
      <w:numFmt w:val="decimal"/>
      <w:suff w:val="nothing"/>
      <w:lvlText w:val="%1、"/>
      <w:lvlJc w:val="left"/>
      <w:pPr>
        <w:ind w:left="0" w:firstLine="40"/>
      </w:pPr>
    </w:lvl>
  </w:abstractNum>
  <w:abstractNum w:abstractNumId="5">
    <w:nsid w:val="7F7E5238"/>
    <w:multiLevelType w:val="multilevel"/>
    <w:tmpl w:val="7F7E5238"/>
    <w:lvl w:ilvl="0" w:tentative="0">
      <w:start w:val="1"/>
      <w:numFmt w:val="none"/>
      <w:pStyle w:val="14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4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44"/>
      <w:lvlText w:val="           "/>
      <w:lvlJc w:val="left"/>
      <w:pPr>
        <w:tabs>
          <w:tab w:val="left" w:pos="1440"/>
        </w:tabs>
        <w:ind w:left="1152" w:hanging="1152"/>
      </w:pPr>
      <w:rPr>
        <w:rFonts w:hint="eastAsia"/>
      </w:rPr>
    </w:lvl>
    <w:lvl w:ilvl="6" w:tentative="0">
      <w:start w:val="1"/>
      <w:numFmt w:val="decimal"/>
      <w:pStyle w:val="145"/>
      <w:lvlText w:val="%1.%2.%3.%4.%5.%6.%7"/>
      <w:lvlJc w:val="left"/>
      <w:pPr>
        <w:tabs>
          <w:tab w:val="left" w:pos="2520"/>
        </w:tabs>
        <w:ind w:left="1296" w:hanging="1296"/>
      </w:pPr>
      <w:rPr>
        <w:rFonts w:hint="eastAsia"/>
      </w:rPr>
    </w:lvl>
    <w:lvl w:ilvl="7" w:tentative="0">
      <w:start w:val="1"/>
      <w:numFmt w:val="decimal"/>
      <w:pStyle w:val="146"/>
      <w:lvlText w:val="%1.%2.%3.%4.%5.%6.%7.%8"/>
      <w:lvlJc w:val="left"/>
      <w:pPr>
        <w:tabs>
          <w:tab w:val="left" w:pos="1440"/>
        </w:tabs>
        <w:ind w:left="1440" w:hanging="1440"/>
      </w:pPr>
      <w:rPr>
        <w:rFonts w:hint="eastAsia"/>
      </w:rPr>
    </w:lvl>
    <w:lvl w:ilvl="8" w:tentative="0">
      <w:start w:val="1"/>
      <w:numFmt w:val="decimal"/>
      <w:pStyle w:val="147"/>
      <w:lvlText w:val="%1.%2.%3.%4.%5.%6.%7.%8.%9"/>
      <w:lvlJc w:val="left"/>
      <w:pPr>
        <w:tabs>
          <w:tab w:val="left" w:pos="1584"/>
        </w:tabs>
        <w:ind w:left="1584" w:hanging="1584"/>
      </w:pPr>
      <w:rPr>
        <w:rFonts w:hint="eastAsia"/>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3DA1"/>
    <w:rsid w:val="00014130"/>
    <w:rsid w:val="00014DB9"/>
    <w:rsid w:val="0001505D"/>
    <w:rsid w:val="000150DE"/>
    <w:rsid w:val="0001605A"/>
    <w:rsid w:val="00016613"/>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44F6"/>
    <w:rsid w:val="00044BF5"/>
    <w:rsid w:val="00044FA2"/>
    <w:rsid w:val="0004551E"/>
    <w:rsid w:val="00046438"/>
    <w:rsid w:val="0004663D"/>
    <w:rsid w:val="00046C83"/>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662D"/>
    <w:rsid w:val="00067385"/>
    <w:rsid w:val="0007076C"/>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A33"/>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6BB0"/>
    <w:rsid w:val="000A7726"/>
    <w:rsid w:val="000A789D"/>
    <w:rsid w:val="000B0AE7"/>
    <w:rsid w:val="000B0C5D"/>
    <w:rsid w:val="000B1F0A"/>
    <w:rsid w:val="000B22FB"/>
    <w:rsid w:val="000B2CE6"/>
    <w:rsid w:val="000B3C7C"/>
    <w:rsid w:val="000B43ED"/>
    <w:rsid w:val="000B4A9F"/>
    <w:rsid w:val="000B4FF6"/>
    <w:rsid w:val="000B5A28"/>
    <w:rsid w:val="000B64EB"/>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1F74"/>
    <w:rsid w:val="000D20C6"/>
    <w:rsid w:val="000D214F"/>
    <w:rsid w:val="000D2FDA"/>
    <w:rsid w:val="000D4833"/>
    <w:rsid w:val="000D663A"/>
    <w:rsid w:val="000D66D6"/>
    <w:rsid w:val="000D6910"/>
    <w:rsid w:val="000D6AB8"/>
    <w:rsid w:val="000D7470"/>
    <w:rsid w:val="000E0B97"/>
    <w:rsid w:val="000E1076"/>
    <w:rsid w:val="000E17B5"/>
    <w:rsid w:val="000E2551"/>
    <w:rsid w:val="000E2F1E"/>
    <w:rsid w:val="000E3D91"/>
    <w:rsid w:val="000E4618"/>
    <w:rsid w:val="000E4AEC"/>
    <w:rsid w:val="000E6382"/>
    <w:rsid w:val="000E64C0"/>
    <w:rsid w:val="000E7433"/>
    <w:rsid w:val="000E7AA9"/>
    <w:rsid w:val="000F001A"/>
    <w:rsid w:val="000F0FE5"/>
    <w:rsid w:val="000F150A"/>
    <w:rsid w:val="000F1728"/>
    <w:rsid w:val="000F2A57"/>
    <w:rsid w:val="000F4DF3"/>
    <w:rsid w:val="000F5797"/>
    <w:rsid w:val="000F63DE"/>
    <w:rsid w:val="000F6D2D"/>
    <w:rsid w:val="000F72C8"/>
    <w:rsid w:val="000F7568"/>
    <w:rsid w:val="00100B0D"/>
    <w:rsid w:val="001011F7"/>
    <w:rsid w:val="001012A3"/>
    <w:rsid w:val="001025F0"/>
    <w:rsid w:val="001034E9"/>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9C7"/>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ABA"/>
    <w:rsid w:val="00150F8D"/>
    <w:rsid w:val="00151198"/>
    <w:rsid w:val="00152473"/>
    <w:rsid w:val="00152FB9"/>
    <w:rsid w:val="00153C2F"/>
    <w:rsid w:val="00155B47"/>
    <w:rsid w:val="00156870"/>
    <w:rsid w:val="00156A2F"/>
    <w:rsid w:val="001574C6"/>
    <w:rsid w:val="00160047"/>
    <w:rsid w:val="001609E3"/>
    <w:rsid w:val="00160CB1"/>
    <w:rsid w:val="00160E46"/>
    <w:rsid w:val="00161AFA"/>
    <w:rsid w:val="00162A11"/>
    <w:rsid w:val="001635EF"/>
    <w:rsid w:val="0016371B"/>
    <w:rsid w:val="001645D0"/>
    <w:rsid w:val="00164AF7"/>
    <w:rsid w:val="001655E8"/>
    <w:rsid w:val="00165914"/>
    <w:rsid w:val="001662DE"/>
    <w:rsid w:val="001669C9"/>
    <w:rsid w:val="001676B2"/>
    <w:rsid w:val="001677B8"/>
    <w:rsid w:val="00167BD9"/>
    <w:rsid w:val="00170092"/>
    <w:rsid w:val="00170EF7"/>
    <w:rsid w:val="00171CC6"/>
    <w:rsid w:val="001729A8"/>
    <w:rsid w:val="00172C7D"/>
    <w:rsid w:val="0017397C"/>
    <w:rsid w:val="00174C2F"/>
    <w:rsid w:val="00175641"/>
    <w:rsid w:val="001759A3"/>
    <w:rsid w:val="00176F89"/>
    <w:rsid w:val="00177892"/>
    <w:rsid w:val="001808A2"/>
    <w:rsid w:val="0018169E"/>
    <w:rsid w:val="0018195C"/>
    <w:rsid w:val="00181A85"/>
    <w:rsid w:val="0018348F"/>
    <w:rsid w:val="0018437C"/>
    <w:rsid w:val="00185412"/>
    <w:rsid w:val="00185763"/>
    <w:rsid w:val="001858E7"/>
    <w:rsid w:val="00186767"/>
    <w:rsid w:val="00187488"/>
    <w:rsid w:val="00190088"/>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3E2"/>
    <w:rsid w:val="001D0A2B"/>
    <w:rsid w:val="001D20AE"/>
    <w:rsid w:val="001D5167"/>
    <w:rsid w:val="001D5860"/>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0ED9"/>
    <w:rsid w:val="00221ECA"/>
    <w:rsid w:val="00221FA8"/>
    <w:rsid w:val="00222422"/>
    <w:rsid w:val="00224883"/>
    <w:rsid w:val="00224AAE"/>
    <w:rsid w:val="00226FA5"/>
    <w:rsid w:val="002271AF"/>
    <w:rsid w:val="0022789B"/>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22F"/>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3D74"/>
    <w:rsid w:val="002D5201"/>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7842"/>
    <w:rsid w:val="002F03EE"/>
    <w:rsid w:val="002F0456"/>
    <w:rsid w:val="002F0A33"/>
    <w:rsid w:val="002F0F00"/>
    <w:rsid w:val="002F0F16"/>
    <w:rsid w:val="002F176D"/>
    <w:rsid w:val="002F18CA"/>
    <w:rsid w:val="002F1D46"/>
    <w:rsid w:val="002F361D"/>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0B42"/>
    <w:rsid w:val="003324B0"/>
    <w:rsid w:val="00332929"/>
    <w:rsid w:val="00332BC7"/>
    <w:rsid w:val="003331DE"/>
    <w:rsid w:val="00333A2A"/>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617A"/>
    <w:rsid w:val="00346559"/>
    <w:rsid w:val="0034664C"/>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3204"/>
    <w:rsid w:val="003A3894"/>
    <w:rsid w:val="003A3D1D"/>
    <w:rsid w:val="003A3DDA"/>
    <w:rsid w:val="003A3EFB"/>
    <w:rsid w:val="003A3FF3"/>
    <w:rsid w:val="003A4327"/>
    <w:rsid w:val="003A4691"/>
    <w:rsid w:val="003A4E21"/>
    <w:rsid w:val="003A553A"/>
    <w:rsid w:val="003A6AF7"/>
    <w:rsid w:val="003A6FAC"/>
    <w:rsid w:val="003A7078"/>
    <w:rsid w:val="003B19B2"/>
    <w:rsid w:val="003B1B43"/>
    <w:rsid w:val="003B28DC"/>
    <w:rsid w:val="003B2BDB"/>
    <w:rsid w:val="003B4DEF"/>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07"/>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6360"/>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06227"/>
    <w:rsid w:val="00406F20"/>
    <w:rsid w:val="00410100"/>
    <w:rsid w:val="00410392"/>
    <w:rsid w:val="0041047D"/>
    <w:rsid w:val="00410C65"/>
    <w:rsid w:val="0041166B"/>
    <w:rsid w:val="004125D3"/>
    <w:rsid w:val="00414547"/>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58D"/>
    <w:rsid w:val="00463C15"/>
    <w:rsid w:val="00463DF9"/>
    <w:rsid w:val="00464612"/>
    <w:rsid w:val="004648B5"/>
    <w:rsid w:val="00464A11"/>
    <w:rsid w:val="00464B33"/>
    <w:rsid w:val="004664E4"/>
    <w:rsid w:val="00466D06"/>
    <w:rsid w:val="00466E0D"/>
    <w:rsid w:val="004703B7"/>
    <w:rsid w:val="00470694"/>
    <w:rsid w:val="004713D9"/>
    <w:rsid w:val="0047198B"/>
    <w:rsid w:val="004719FA"/>
    <w:rsid w:val="00472317"/>
    <w:rsid w:val="00473170"/>
    <w:rsid w:val="004736F7"/>
    <w:rsid w:val="0047415D"/>
    <w:rsid w:val="00474215"/>
    <w:rsid w:val="0047473D"/>
    <w:rsid w:val="00475270"/>
    <w:rsid w:val="004754F8"/>
    <w:rsid w:val="004757BA"/>
    <w:rsid w:val="004779FC"/>
    <w:rsid w:val="00481B6F"/>
    <w:rsid w:val="004825C9"/>
    <w:rsid w:val="004827B3"/>
    <w:rsid w:val="00483BCA"/>
    <w:rsid w:val="00483D8C"/>
    <w:rsid w:val="00485500"/>
    <w:rsid w:val="00485C13"/>
    <w:rsid w:val="0048724F"/>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457"/>
    <w:rsid w:val="004B573B"/>
    <w:rsid w:val="004B6386"/>
    <w:rsid w:val="004B6A66"/>
    <w:rsid w:val="004B7459"/>
    <w:rsid w:val="004B796C"/>
    <w:rsid w:val="004B7A9D"/>
    <w:rsid w:val="004C06CF"/>
    <w:rsid w:val="004C1C51"/>
    <w:rsid w:val="004C24B3"/>
    <w:rsid w:val="004C2EF5"/>
    <w:rsid w:val="004C3219"/>
    <w:rsid w:val="004C4301"/>
    <w:rsid w:val="004C4C53"/>
    <w:rsid w:val="004C4E80"/>
    <w:rsid w:val="004C5078"/>
    <w:rsid w:val="004C51A0"/>
    <w:rsid w:val="004C5978"/>
    <w:rsid w:val="004C644E"/>
    <w:rsid w:val="004C7138"/>
    <w:rsid w:val="004C7A01"/>
    <w:rsid w:val="004D12F2"/>
    <w:rsid w:val="004D18C1"/>
    <w:rsid w:val="004D1C10"/>
    <w:rsid w:val="004D2FDC"/>
    <w:rsid w:val="004D470D"/>
    <w:rsid w:val="004D5432"/>
    <w:rsid w:val="004D6878"/>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D09"/>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6834"/>
    <w:rsid w:val="005576BC"/>
    <w:rsid w:val="00557CAC"/>
    <w:rsid w:val="00557DDB"/>
    <w:rsid w:val="00557E92"/>
    <w:rsid w:val="005603C7"/>
    <w:rsid w:val="005604AE"/>
    <w:rsid w:val="00560A68"/>
    <w:rsid w:val="005617AE"/>
    <w:rsid w:val="00561880"/>
    <w:rsid w:val="00562B82"/>
    <w:rsid w:val="00563C96"/>
    <w:rsid w:val="00564718"/>
    <w:rsid w:val="00565373"/>
    <w:rsid w:val="00566219"/>
    <w:rsid w:val="0056676B"/>
    <w:rsid w:val="00567164"/>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079E"/>
    <w:rsid w:val="00590D30"/>
    <w:rsid w:val="005912CE"/>
    <w:rsid w:val="00591B76"/>
    <w:rsid w:val="00592FE4"/>
    <w:rsid w:val="0059325D"/>
    <w:rsid w:val="005944CE"/>
    <w:rsid w:val="0059484C"/>
    <w:rsid w:val="0059537A"/>
    <w:rsid w:val="00595807"/>
    <w:rsid w:val="005A0EF1"/>
    <w:rsid w:val="005A2F5C"/>
    <w:rsid w:val="005A3B53"/>
    <w:rsid w:val="005A4019"/>
    <w:rsid w:val="005A404D"/>
    <w:rsid w:val="005A40EC"/>
    <w:rsid w:val="005A49AE"/>
    <w:rsid w:val="005A5087"/>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6E"/>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75C"/>
    <w:rsid w:val="00607C42"/>
    <w:rsid w:val="0061049F"/>
    <w:rsid w:val="00610A13"/>
    <w:rsid w:val="00610CE5"/>
    <w:rsid w:val="006114AC"/>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834"/>
    <w:rsid w:val="00632C4C"/>
    <w:rsid w:val="006349CB"/>
    <w:rsid w:val="0063542D"/>
    <w:rsid w:val="00640089"/>
    <w:rsid w:val="006401C1"/>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AF3"/>
    <w:rsid w:val="00655F08"/>
    <w:rsid w:val="00657074"/>
    <w:rsid w:val="00660610"/>
    <w:rsid w:val="006613AF"/>
    <w:rsid w:val="006613F4"/>
    <w:rsid w:val="00661D6D"/>
    <w:rsid w:val="00661DB5"/>
    <w:rsid w:val="00662D04"/>
    <w:rsid w:val="00663682"/>
    <w:rsid w:val="006639CB"/>
    <w:rsid w:val="00664997"/>
    <w:rsid w:val="0066526B"/>
    <w:rsid w:val="00665903"/>
    <w:rsid w:val="0067003A"/>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C09"/>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3CC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2A98"/>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F1949"/>
    <w:rsid w:val="006F2492"/>
    <w:rsid w:val="006F4491"/>
    <w:rsid w:val="006F4EA6"/>
    <w:rsid w:val="006F6C99"/>
    <w:rsid w:val="00702406"/>
    <w:rsid w:val="00702568"/>
    <w:rsid w:val="00702E8C"/>
    <w:rsid w:val="00703275"/>
    <w:rsid w:val="00705498"/>
    <w:rsid w:val="00706C55"/>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64F"/>
    <w:rsid w:val="00743BB0"/>
    <w:rsid w:val="007440D1"/>
    <w:rsid w:val="0074599F"/>
    <w:rsid w:val="007464D8"/>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7D2"/>
    <w:rsid w:val="00761AF4"/>
    <w:rsid w:val="00762B7C"/>
    <w:rsid w:val="00762E8C"/>
    <w:rsid w:val="00763946"/>
    <w:rsid w:val="00763E6C"/>
    <w:rsid w:val="0076439D"/>
    <w:rsid w:val="0076470F"/>
    <w:rsid w:val="00764A2C"/>
    <w:rsid w:val="00765BDE"/>
    <w:rsid w:val="0076699F"/>
    <w:rsid w:val="00770017"/>
    <w:rsid w:val="0077269F"/>
    <w:rsid w:val="00772D72"/>
    <w:rsid w:val="00774418"/>
    <w:rsid w:val="007750C4"/>
    <w:rsid w:val="007759F6"/>
    <w:rsid w:val="00776612"/>
    <w:rsid w:val="007802E3"/>
    <w:rsid w:val="007806C1"/>
    <w:rsid w:val="0078182D"/>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121"/>
    <w:rsid w:val="007D149B"/>
    <w:rsid w:val="007D163A"/>
    <w:rsid w:val="007D172B"/>
    <w:rsid w:val="007D2EA6"/>
    <w:rsid w:val="007D4768"/>
    <w:rsid w:val="007D4842"/>
    <w:rsid w:val="007D48D4"/>
    <w:rsid w:val="007D7977"/>
    <w:rsid w:val="007E05EF"/>
    <w:rsid w:val="007E0755"/>
    <w:rsid w:val="007E109A"/>
    <w:rsid w:val="007E116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571DC"/>
    <w:rsid w:val="00860199"/>
    <w:rsid w:val="008603BB"/>
    <w:rsid w:val="008607E6"/>
    <w:rsid w:val="0086129D"/>
    <w:rsid w:val="00861E13"/>
    <w:rsid w:val="0086400A"/>
    <w:rsid w:val="00864387"/>
    <w:rsid w:val="0086453A"/>
    <w:rsid w:val="0086592F"/>
    <w:rsid w:val="00865F25"/>
    <w:rsid w:val="008670A2"/>
    <w:rsid w:val="00867798"/>
    <w:rsid w:val="0087057C"/>
    <w:rsid w:val="00870D62"/>
    <w:rsid w:val="00870D68"/>
    <w:rsid w:val="008710E9"/>
    <w:rsid w:val="0087142D"/>
    <w:rsid w:val="00873F25"/>
    <w:rsid w:val="00874DA1"/>
    <w:rsid w:val="00875653"/>
    <w:rsid w:val="00875905"/>
    <w:rsid w:val="008763E4"/>
    <w:rsid w:val="008766A7"/>
    <w:rsid w:val="00876CF1"/>
    <w:rsid w:val="0087757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D60"/>
    <w:rsid w:val="008C3FD0"/>
    <w:rsid w:val="008C48EC"/>
    <w:rsid w:val="008C4C72"/>
    <w:rsid w:val="008D0FC7"/>
    <w:rsid w:val="008D24CA"/>
    <w:rsid w:val="008D27D8"/>
    <w:rsid w:val="008D38AE"/>
    <w:rsid w:val="008D4B25"/>
    <w:rsid w:val="008D695B"/>
    <w:rsid w:val="008D773E"/>
    <w:rsid w:val="008D77F1"/>
    <w:rsid w:val="008E01F7"/>
    <w:rsid w:val="008E03E4"/>
    <w:rsid w:val="008E08E0"/>
    <w:rsid w:val="008E1086"/>
    <w:rsid w:val="008E168A"/>
    <w:rsid w:val="008E26F9"/>
    <w:rsid w:val="008E3712"/>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517"/>
    <w:rsid w:val="009519DC"/>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0BE8"/>
    <w:rsid w:val="0096151A"/>
    <w:rsid w:val="009619C3"/>
    <w:rsid w:val="00961DBA"/>
    <w:rsid w:val="009630C0"/>
    <w:rsid w:val="0096421E"/>
    <w:rsid w:val="00964890"/>
    <w:rsid w:val="00964EE8"/>
    <w:rsid w:val="0096572F"/>
    <w:rsid w:val="00966076"/>
    <w:rsid w:val="00966F2C"/>
    <w:rsid w:val="00967611"/>
    <w:rsid w:val="00967AE3"/>
    <w:rsid w:val="00967E1D"/>
    <w:rsid w:val="0097192B"/>
    <w:rsid w:val="009719B9"/>
    <w:rsid w:val="00971FC0"/>
    <w:rsid w:val="00973C3A"/>
    <w:rsid w:val="009742FC"/>
    <w:rsid w:val="00975744"/>
    <w:rsid w:val="00975AAA"/>
    <w:rsid w:val="00976176"/>
    <w:rsid w:val="00977234"/>
    <w:rsid w:val="00977A25"/>
    <w:rsid w:val="009805F1"/>
    <w:rsid w:val="00980DD3"/>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5B7A"/>
    <w:rsid w:val="00996967"/>
    <w:rsid w:val="00996D2B"/>
    <w:rsid w:val="00997C63"/>
    <w:rsid w:val="009A1172"/>
    <w:rsid w:val="009A2693"/>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0C3"/>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2622"/>
    <w:rsid w:val="00AB2819"/>
    <w:rsid w:val="00AB30EE"/>
    <w:rsid w:val="00AB3422"/>
    <w:rsid w:val="00AB4218"/>
    <w:rsid w:val="00AB4581"/>
    <w:rsid w:val="00AB4A5B"/>
    <w:rsid w:val="00AB5F3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BE8"/>
    <w:rsid w:val="00AC5D62"/>
    <w:rsid w:val="00AC65FF"/>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2CD"/>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5993"/>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1E0"/>
    <w:rsid w:val="00B733AF"/>
    <w:rsid w:val="00B74A8E"/>
    <w:rsid w:val="00B755F1"/>
    <w:rsid w:val="00B77FED"/>
    <w:rsid w:val="00B80855"/>
    <w:rsid w:val="00B8216F"/>
    <w:rsid w:val="00B82531"/>
    <w:rsid w:val="00B82774"/>
    <w:rsid w:val="00B8307F"/>
    <w:rsid w:val="00B84A3F"/>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04CE"/>
    <w:rsid w:val="00BC20E3"/>
    <w:rsid w:val="00BC2A18"/>
    <w:rsid w:val="00BC3087"/>
    <w:rsid w:val="00BC35BB"/>
    <w:rsid w:val="00BC3B61"/>
    <w:rsid w:val="00BC4687"/>
    <w:rsid w:val="00BC4E0E"/>
    <w:rsid w:val="00BC502F"/>
    <w:rsid w:val="00BC5266"/>
    <w:rsid w:val="00BC7E5D"/>
    <w:rsid w:val="00BD083A"/>
    <w:rsid w:val="00BD122D"/>
    <w:rsid w:val="00BD2249"/>
    <w:rsid w:val="00BD35D5"/>
    <w:rsid w:val="00BD4131"/>
    <w:rsid w:val="00BD5F17"/>
    <w:rsid w:val="00BD6845"/>
    <w:rsid w:val="00BD79F7"/>
    <w:rsid w:val="00BE11D6"/>
    <w:rsid w:val="00BE197C"/>
    <w:rsid w:val="00BE215D"/>
    <w:rsid w:val="00BE33EF"/>
    <w:rsid w:val="00BF05C4"/>
    <w:rsid w:val="00BF0879"/>
    <w:rsid w:val="00BF1D33"/>
    <w:rsid w:val="00BF2471"/>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37576"/>
    <w:rsid w:val="00C4022B"/>
    <w:rsid w:val="00C40888"/>
    <w:rsid w:val="00C408FC"/>
    <w:rsid w:val="00C40F9A"/>
    <w:rsid w:val="00C43820"/>
    <w:rsid w:val="00C44E02"/>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70389"/>
    <w:rsid w:val="00C70600"/>
    <w:rsid w:val="00C71B9C"/>
    <w:rsid w:val="00C727BB"/>
    <w:rsid w:val="00C7283B"/>
    <w:rsid w:val="00C75745"/>
    <w:rsid w:val="00C7617A"/>
    <w:rsid w:val="00C80629"/>
    <w:rsid w:val="00C80C44"/>
    <w:rsid w:val="00C81046"/>
    <w:rsid w:val="00C816F4"/>
    <w:rsid w:val="00C82B44"/>
    <w:rsid w:val="00C82F2A"/>
    <w:rsid w:val="00C832D9"/>
    <w:rsid w:val="00C83512"/>
    <w:rsid w:val="00C83849"/>
    <w:rsid w:val="00C85048"/>
    <w:rsid w:val="00C85334"/>
    <w:rsid w:val="00C853D6"/>
    <w:rsid w:val="00C85A03"/>
    <w:rsid w:val="00C862A8"/>
    <w:rsid w:val="00C8641B"/>
    <w:rsid w:val="00C87BDA"/>
    <w:rsid w:val="00C90EA8"/>
    <w:rsid w:val="00C90FB2"/>
    <w:rsid w:val="00C91315"/>
    <w:rsid w:val="00C92FA2"/>
    <w:rsid w:val="00C93451"/>
    <w:rsid w:val="00C93E46"/>
    <w:rsid w:val="00C9430F"/>
    <w:rsid w:val="00C94668"/>
    <w:rsid w:val="00C9486B"/>
    <w:rsid w:val="00C94C5F"/>
    <w:rsid w:val="00C955CA"/>
    <w:rsid w:val="00C961E5"/>
    <w:rsid w:val="00C964E2"/>
    <w:rsid w:val="00C9694A"/>
    <w:rsid w:val="00C96AD4"/>
    <w:rsid w:val="00C97823"/>
    <w:rsid w:val="00C97A7F"/>
    <w:rsid w:val="00C97CF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C6822"/>
    <w:rsid w:val="00CD0BB9"/>
    <w:rsid w:val="00CD1756"/>
    <w:rsid w:val="00CD2A13"/>
    <w:rsid w:val="00CD4CC7"/>
    <w:rsid w:val="00CD56A1"/>
    <w:rsid w:val="00CD57AD"/>
    <w:rsid w:val="00CD605D"/>
    <w:rsid w:val="00CD7280"/>
    <w:rsid w:val="00CE0216"/>
    <w:rsid w:val="00CE0592"/>
    <w:rsid w:val="00CE11D0"/>
    <w:rsid w:val="00CE1978"/>
    <w:rsid w:val="00CE201E"/>
    <w:rsid w:val="00CE20D8"/>
    <w:rsid w:val="00CE36AB"/>
    <w:rsid w:val="00CE3706"/>
    <w:rsid w:val="00CE4409"/>
    <w:rsid w:val="00CE51D6"/>
    <w:rsid w:val="00CE5414"/>
    <w:rsid w:val="00CE7D03"/>
    <w:rsid w:val="00CF0841"/>
    <w:rsid w:val="00CF0D42"/>
    <w:rsid w:val="00CF0EE4"/>
    <w:rsid w:val="00CF21C9"/>
    <w:rsid w:val="00CF2305"/>
    <w:rsid w:val="00CF246E"/>
    <w:rsid w:val="00CF2DC2"/>
    <w:rsid w:val="00CF36E5"/>
    <w:rsid w:val="00CF3C25"/>
    <w:rsid w:val="00CF4E46"/>
    <w:rsid w:val="00CF62CE"/>
    <w:rsid w:val="00CF634C"/>
    <w:rsid w:val="00CF6C15"/>
    <w:rsid w:val="00CF6DFD"/>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937"/>
    <w:rsid w:val="00D278DC"/>
    <w:rsid w:val="00D32F23"/>
    <w:rsid w:val="00D334CC"/>
    <w:rsid w:val="00D33C9D"/>
    <w:rsid w:val="00D344E7"/>
    <w:rsid w:val="00D35562"/>
    <w:rsid w:val="00D35969"/>
    <w:rsid w:val="00D359FE"/>
    <w:rsid w:val="00D35C69"/>
    <w:rsid w:val="00D35E5B"/>
    <w:rsid w:val="00D360F8"/>
    <w:rsid w:val="00D366F6"/>
    <w:rsid w:val="00D409CE"/>
    <w:rsid w:val="00D4138A"/>
    <w:rsid w:val="00D417BC"/>
    <w:rsid w:val="00D41F69"/>
    <w:rsid w:val="00D42106"/>
    <w:rsid w:val="00D429B1"/>
    <w:rsid w:val="00D4337E"/>
    <w:rsid w:val="00D43E2A"/>
    <w:rsid w:val="00D4486C"/>
    <w:rsid w:val="00D44964"/>
    <w:rsid w:val="00D44C61"/>
    <w:rsid w:val="00D470CF"/>
    <w:rsid w:val="00D47118"/>
    <w:rsid w:val="00D47CE9"/>
    <w:rsid w:val="00D50595"/>
    <w:rsid w:val="00D51AFF"/>
    <w:rsid w:val="00D53CB9"/>
    <w:rsid w:val="00D540B0"/>
    <w:rsid w:val="00D5536E"/>
    <w:rsid w:val="00D57398"/>
    <w:rsid w:val="00D576F7"/>
    <w:rsid w:val="00D5774C"/>
    <w:rsid w:val="00D60178"/>
    <w:rsid w:val="00D61614"/>
    <w:rsid w:val="00D661B9"/>
    <w:rsid w:val="00D6648F"/>
    <w:rsid w:val="00D666DB"/>
    <w:rsid w:val="00D66E6E"/>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6123"/>
    <w:rsid w:val="00DF62F0"/>
    <w:rsid w:val="00DF758C"/>
    <w:rsid w:val="00DF7637"/>
    <w:rsid w:val="00DF7F77"/>
    <w:rsid w:val="00E0178A"/>
    <w:rsid w:val="00E01ABA"/>
    <w:rsid w:val="00E01D50"/>
    <w:rsid w:val="00E0207C"/>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34E8"/>
    <w:rsid w:val="00E23731"/>
    <w:rsid w:val="00E24400"/>
    <w:rsid w:val="00E24549"/>
    <w:rsid w:val="00E26B91"/>
    <w:rsid w:val="00E26F09"/>
    <w:rsid w:val="00E27BC2"/>
    <w:rsid w:val="00E30169"/>
    <w:rsid w:val="00E303ED"/>
    <w:rsid w:val="00E30DD1"/>
    <w:rsid w:val="00E310FA"/>
    <w:rsid w:val="00E322C9"/>
    <w:rsid w:val="00E32CA8"/>
    <w:rsid w:val="00E33115"/>
    <w:rsid w:val="00E339F9"/>
    <w:rsid w:val="00E35869"/>
    <w:rsid w:val="00E35C16"/>
    <w:rsid w:val="00E360A1"/>
    <w:rsid w:val="00E37819"/>
    <w:rsid w:val="00E37AD9"/>
    <w:rsid w:val="00E37E5E"/>
    <w:rsid w:val="00E4034D"/>
    <w:rsid w:val="00E40BE0"/>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6D87"/>
    <w:rsid w:val="00E678C2"/>
    <w:rsid w:val="00E71BD5"/>
    <w:rsid w:val="00E7223B"/>
    <w:rsid w:val="00E73137"/>
    <w:rsid w:val="00E73507"/>
    <w:rsid w:val="00E74618"/>
    <w:rsid w:val="00E74BEF"/>
    <w:rsid w:val="00E74C11"/>
    <w:rsid w:val="00E75ED8"/>
    <w:rsid w:val="00E76B60"/>
    <w:rsid w:val="00E770C1"/>
    <w:rsid w:val="00E77139"/>
    <w:rsid w:val="00E77A77"/>
    <w:rsid w:val="00E81E1E"/>
    <w:rsid w:val="00E81F17"/>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4D0"/>
    <w:rsid w:val="00FB0D31"/>
    <w:rsid w:val="00FB196D"/>
    <w:rsid w:val="00FB1AC4"/>
    <w:rsid w:val="00FB2286"/>
    <w:rsid w:val="00FB2329"/>
    <w:rsid w:val="00FB2960"/>
    <w:rsid w:val="00FB2A4E"/>
    <w:rsid w:val="00FB3FC0"/>
    <w:rsid w:val="00FB5CA1"/>
    <w:rsid w:val="00FB6D5F"/>
    <w:rsid w:val="00FB6E0B"/>
    <w:rsid w:val="00FC02A9"/>
    <w:rsid w:val="00FC137F"/>
    <w:rsid w:val="00FC1751"/>
    <w:rsid w:val="00FC2A67"/>
    <w:rsid w:val="00FC34AB"/>
    <w:rsid w:val="00FC4E6F"/>
    <w:rsid w:val="00FC502E"/>
    <w:rsid w:val="00FC5301"/>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4C4"/>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31436A"/>
    <w:rsid w:val="0149264A"/>
    <w:rsid w:val="015E6F4F"/>
    <w:rsid w:val="01920FF9"/>
    <w:rsid w:val="01BD7512"/>
    <w:rsid w:val="01BF2B9A"/>
    <w:rsid w:val="01C924A3"/>
    <w:rsid w:val="01E46D89"/>
    <w:rsid w:val="01F80FE4"/>
    <w:rsid w:val="020B0FAC"/>
    <w:rsid w:val="025B2440"/>
    <w:rsid w:val="02664063"/>
    <w:rsid w:val="028247F4"/>
    <w:rsid w:val="02867E41"/>
    <w:rsid w:val="029E7C60"/>
    <w:rsid w:val="02A855E1"/>
    <w:rsid w:val="02B35AF0"/>
    <w:rsid w:val="02D768EE"/>
    <w:rsid w:val="03575C81"/>
    <w:rsid w:val="035C6968"/>
    <w:rsid w:val="03B44E81"/>
    <w:rsid w:val="03D3635A"/>
    <w:rsid w:val="03E171A6"/>
    <w:rsid w:val="03EA1C8C"/>
    <w:rsid w:val="03EA43FF"/>
    <w:rsid w:val="03F4702C"/>
    <w:rsid w:val="041D47D5"/>
    <w:rsid w:val="044E55C1"/>
    <w:rsid w:val="04594595"/>
    <w:rsid w:val="047B4E5D"/>
    <w:rsid w:val="04D47B1C"/>
    <w:rsid w:val="04D70E27"/>
    <w:rsid w:val="04F26EDC"/>
    <w:rsid w:val="052326A1"/>
    <w:rsid w:val="05424A0A"/>
    <w:rsid w:val="05542478"/>
    <w:rsid w:val="05656433"/>
    <w:rsid w:val="057F1FA1"/>
    <w:rsid w:val="05B670BC"/>
    <w:rsid w:val="05CD2610"/>
    <w:rsid w:val="05F45A09"/>
    <w:rsid w:val="061158BC"/>
    <w:rsid w:val="061816F7"/>
    <w:rsid w:val="0619721E"/>
    <w:rsid w:val="061C05D3"/>
    <w:rsid w:val="06294719"/>
    <w:rsid w:val="065A47EC"/>
    <w:rsid w:val="0661309E"/>
    <w:rsid w:val="06B707F8"/>
    <w:rsid w:val="06BD5DFB"/>
    <w:rsid w:val="06C07CFE"/>
    <w:rsid w:val="06C7379C"/>
    <w:rsid w:val="06CF4273"/>
    <w:rsid w:val="06D67F02"/>
    <w:rsid w:val="06E852AE"/>
    <w:rsid w:val="070B0C43"/>
    <w:rsid w:val="071A401D"/>
    <w:rsid w:val="07500A1D"/>
    <w:rsid w:val="07A50E31"/>
    <w:rsid w:val="07B17E3B"/>
    <w:rsid w:val="07CE7A7B"/>
    <w:rsid w:val="081F32F8"/>
    <w:rsid w:val="0836491B"/>
    <w:rsid w:val="083E4D1A"/>
    <w:rsid w:val="084B25AC"/>
    <w:rsid w:val="084C4ECD"/>
    <w:rsid w:val="08867174"/>
    <w:rsid w:val="08D755E0"/>
    <w:rsid w:val="090E5E7A"/>
    <w:rsid w:val="090F2E16"/>
    <w:rsid w:val="09187C60"/>
    <w:rsid w:val="09301BBB"/>
    <w:rsid w:val="095345B6"/>
    <w:rsid w:val="097A71CB"/>
    <w:rsid w:val="09AD03A9"/>
    <w:rsid w:val="09B72792"/>
    <w:rsid w:val="09BA1B7D"/>
    <w:rsid w:val="09CC7596"/>
    <w:rsid w:val="09F64C78"/>
    <w:rsid w:val="0A1D2CEC"/>
    <w:rsid w:val="0A607409"/>
    <w:rsid w:val="0A8F68DD"/>
    <w:rsid w:val="0AA944C8"/>
    <w:rsid w:val="0AC90AA7"/>
    <w:rsid w:val="0AE53B72"/>
    <w:rsid w:val="0AEB31C2"/>
    <w:rsid w:val="0B6E73CC"/>
    <w:rsid w:val="0B8E4B23"/>
    <w:rsid w:val="0B9A5249"/>
    <w:rsid w:val="0BAD4690"/>
    <w:rsid w:val="0BB44A10"/>
    <w:rsid w:val="0C2D3A23"/>
    <w:rsid w:val="0C434702"/>
    <w:rsid w:val="0C6D153E"/>
    <w:rsid w:val="0C7C28C7"/>
    <w:rsid w:val="0C807FF6"/>
    <w:rsid w:val="0C9C64B3"/>
    <w:rsid w:val="0CF637AE"/>
    <w:rsid w:val="0D1E5FB5"/>
    <w:rsid w:val="0D242014"/>
    <w:rsid w:val="0D8E229F"/>
    <w:rsid w:val="0D9D06D9"/>
    <w:rsid w:val="0DA14179"/>
    <w:rsid w:val="0DC81018"/>
    <w:rsid w:val="0DCB0EF1"/>
    <w:rsid w:val="0E0013EF"/>
    <w:rsid w:val="0E082052"/>
    <w:rsid w:val="0E6354DA"/>
    <w:rsid w:val="0EAB2DA1"/>
    <w:rsid w:val="0EBA28E5"/>
    <w:rsid w:val="0EDF7256"/>
    <w:rsid w:val="0F0740B7"/>
    <w:rsid w:val="0F3120D9"/>
    <w:rsid w:val="0F347D6E"/>
    <w:rsid w:val="0F5A148B"/>
    <w:rsid w:val="0F6C5013"/>
    <w:rsid w:val="0F8778CE"/>
    <w:rsid w:val="0FAB1868"/>
    <w:rsid w:val="0FB17F42"/>
    <w:rsid w:val="0FB37D23"/>
    <w:rsid w:val="0FBA2FF6"/>
    <w:rsid w:val="0FC1070A"/>
    <w:rsid w:val="0FC218FB"/>
    <w:rsid w:val="0FC23469"/>
    <w:rsid w:val="0FC942C1"/>
    <w:rsid w:val="0FDC5544"/>
    <w:rsid w:val="0FDF1912"/>
    <w:rsid w:val="0FFA00C0"/>
    <w:rsid w:val="100B72D6"/>
    <w:rsid w:val="102D7F0D"/>
    <w:rsid w:val="10611FF9"/>
    <w:rsid w:val="107F1F3F"/>
    <w:rsid w:val="10986072"/>
    <w:rsid w:val="10BE5C15"/>
    <w:rsid w:val="10E16446"/>
    <w:rsid w:val="11152F12"/>
    <w:rsid w:val="113F389F"/>
    <w:rsid w:val="11432DC7"/>
    <w:rsid w:val="11B9764F"/>
    <w:rsid w:val="11F43FD6"/>
    <w:rsid w:val="121C256F"/>
    <w:rsid w:val="12307DC9"/>
    <w:rsid w:val="12370702"/>
    <w:rsid w:val="12443BEE"/>
    <w:rsid w:val="1255711F"/>
    <w:rsid w:val="126D6927"/>
    <w:rsid w:val="12D93FBD"/>
    <w:rsid w:val="12FA76A4"/>
    <w:rsid w:val="13223BB5"/>
    <w:rsid w:val="1326788D"/>
    <w:rsid w:val="133631BD"/>
    <w:rsid w:val="13680B95"/>
    <w:rsid w:val="137B4C63"/>
    <w:rsid w:val="13973B2A"/>
    <w:rsid w:val="13B33C94"/>
    <w:rsid w:val="13B60A68"/>
    <w:rsid w:val="13D22C33"/>
    <w:rsid w:val="144B1283"/>
    <w:rsid w:val="146E70C7"/>
    <w:rsid w:val="149624C8"/>
    <w:rsid w:val="14DA2236"/>
    <w:rsid w:val="14DC7D94"/>
    <w:rsid w:val="14F7697C"/>
    <w:rsid w:val="150D2F2F"/>
    <w:rsid w:val="15194B44"/>
    <w:rsid w:val="152D0642"/>
    <w:rsid w:val="1537146E"/>
    <w:rsid w:val="153C5207"/>
    <w:rsid w:val="155A5C69"/>
    <w:rsid w:val="158C3591"/>
    <w:rsid w:val="159C1AC1"/>
    <w:rsid w:val="159F06C7"/>
    <w:rsid w:val="15AA696F"/>
    <w:rsid w:val="15BE7F7F"/>
    <w:rsid w:val="16046991"/>
    <w:rsid w:val="165A18B8"/>
    <w:rsid w:val="165C04C8"/>
    <w:rsid w:val="16754CA8"/>
    <w:rsid w:val="16781D3E"/>
    <w:rsid w:val="169C77DB"/>
    <w:rsid w:val="16C679A7"/>
    <w:rsid w:val="16F97946"/>
    <w:rsid w:val="16FE7094"/>
    <w:rsid w:val="172F4AF3"/>
    <w:rsid w:val="174C7453"/>
    <w:rsid w:val="17591B70"/>
    <w:rsid w:val="179926A6"/>
    <w:rsid w:val="17A70B2D"/>
    <w:rsid w:val="17D50242"/>
    <w:rsid w:val="17D9341D"/>
    <w:rsid w:val="17EB5E26"/>
    <w:rsid w:val="17F17D47"/>
    <w:rsid w:val="17F81252"/>
    <w:rsid w:val="18001E23"/>
    <w:rsid w:val="180E4708"/>
    <w:rsid w:val="181B5077"/>
    <w:rsid w:val="181D6ED7"/>
    <w:rsid w:val="18357EE7"/>
    <w:rsid w:val="183B79FF"/>
    <w:rsid w:val="183F48C2"/>
    <w:rsid w:val="18A71E02"/>
    <w:rsid w:val="18AD5255"/>
    <w:rsid w:val="18CE20EA"/>
    <w:rsid w:val="18E70727"/>
    <w:rsid w:val="18FF7D78"/>
    <w:rsid w:val="195E6FCA"/>
    <w:rsid w:val="19630DBA"/>
    <w:rsid w:val="19977E3F"/>
    <w:rsid w:val="19C31523"/>
    <w:rsid w:val="19E80F89"/>
    <w:rsid w:val="19EB1188"/>
    <w:rsid w:val="1A6870AC"/>
    <w:rsid w:val="1A7E3DE6"/>
    <w:rsid w:val="1AE16104"/>
    <w:rsid w:val="1AF220BF"/>
    <w:rsid w:val="1B302C72"/>
    <w:rsid w:val="1B3F3B62"/>
    <w:rsid w:val="1B573E19"/>
    <w:rsid w:val="1B5E468F"/>
    <w:rsid w:val="1B7725C5"/>
    <w:rsid w:val="1BA40C93"/>
    <w:rsid w:val="1BAE28DE"/>
    <w:rsid w:val="1BB2246F"/>
    <w:rsid w:val="1BF41AB6"/>
    <w:rsid w:val="1C7730C1"/>
    <w:rsid w:val="1C7E6F8F"/>
    <w:rsid w:val="1C7F696A"/>
    <w:rsid w:val="1C8B2EBC"/>
    <w:rsid w:val="1C9D24FF"/>
    <w:rsid w:val="1CBE25D9"/>
    <w:rsid w:val="1CC7132A"/>
    <w:rsid w:val="1CF92D2D"/>
    <w:rsid w:val="1CFF2EC3"/>
    <w:rsid w:val="1D0C50A7"/>
    <w:rsid w:val="1D130FFF"/>
    <w:rsid w:val="1D36308D"/>
    <w:rsid w:val="1D4666F2"/>
    <w:rsid w:val="1D8F1387"/>
    <w:rsid w:val="1DCD471E"/>
    <w:rsid w:val="1E0A001A"/>
    <w:rsid w:val="1E141F76"/>
    <w:rsid w:val="1E254CC7"/>
    <w:rsid w:val="1E4C4EC9"/>
    <w:rsid w:val="1E5462CF"/>
    <w:rsid w:val="1E9F632C"/>
    <w:rsid w:val="1EA90CE7"/>
    <w:rsid w:val="1EB261AD"/>
    <w:rsid w:val="1ECD62E0"/>
    <w:rsid w:val="1ED41ADC"/>
    <w:rsid w:val="1ED77DD1"/>
    <w:rsid w:val="1F1A3292"/>
    <w:rsid w:val="1F1A70A6"/>
    <w:rsid w:val="1F1F6FA8"/>
    <w:rsid w:val="1F272DE2"/>
    <w:rsid w:val="1F645556"/>
    <w:rsid w:val="1F6766B1"/>
    <w:rsid w:val="1FA41465"/>
    <w:rsid w:val="1FC0118F"/>
    <w:rsid w:val="1FC22AEF"/>
    <w:rsid w:val="1FC649E7"/>
    <w:rsid w:val="1FCB51BC"/>
    <w:rsid w:val="20002E62"/>
    <w:rsid w:val="201B2555"/>
    <w:rsid w:val="20362A4E"/>
    <w:rsid w:val="203E7A40"/>
    <w:rsid w:val="20461EA1"/>
    <w:rsid w:val="204D1024"/>
    <w:rsid w:val="205A71A6"/>
    <w:rsid w:val="208229AB"/>
    <w:rsid w:val="20AA51BC"/>
    <w:rsid w:val="20E5104E"/>
    <w:rsid w:val="21490325"/>
    <w:rsid w:val="21627873"/>
    <w:rsid w:val="2178038A"/>
    <w:rsid w:val="21D80203"/>
    <w:rsid w:val="221768AF"/>
    <w:rsid w:val="221B63A0"/>
    <w:rsid w:val="22237002"/>
    <w:rsid w:val="225936CC"/>
    <w:rsid w:val="229E6DAB"/>
    <w:rsid w:val="22B075D7"/>
    <w:rsid w:val="22C32593"/>
    <w:rsid w:val="22CD73BB"/>
    <w:rsid w:val="22DE117B"/>
    <w:rsid w:val="22EC117C"/>
    <w:rsid w:val="22F340AA"/>
    <w:rsid w:val="23344974"/>
    <w:rsid w:val="23442E3A"/>
    <w:rsid w:val="238D5611"/>
    <w:rsid w:val="23A10ED3"/>
    <w:rsid w:val="23B45F3B"/>
    <w:rsid w:val="23C847A3"/>
    <w:rsid w:val="23D778F3"/>
    <w:rsid w:val="240C744C"/>
    <w:rsid w:val="242B03F0"/>
    <w:rsid w:val="245663DE"/>
    <w:rsid w:val="24623EFC"/>
    <w:rsid w:val="246C2B57"/>
    <w:rsid w:val="2473085B"/>
    <w:rsid w:val="24B94BC3"/>
    <w:rsid w:val="24CD76F9"/>
    <w:rsid w:val="253363F3"/>
    <w:rsid w:val="253B3167"/>
    <w:rsid w:val="255D282B"/>
    <w:rsid w:val="25A95A70"/>
    <w:rsid w:val="25C40AFC"/>
    <w:rsid w:val="25E20F82"/>
    <w:rsid w:val="25E77A64"/>
    <w:rsid w:val="26997893"/>
    <w:rsid w:val="26EA4592"/>
    <w:rsid w:val="26F772A0"/>
    <w:rsid w:val="270C6CB7"/>
    <w:rsid w:val="27174C5C"/>
    <w:rsid w:val="271C3F54"/>
    <w:rsid w:val="27257379"/>
    <w:rsid w:val="27327868"/>
    <w:rsid w:val="27335F39"/>
    <w:rsid w:val="274A67CD"/>
    <w:rsid w:val="275D1B5F"/>
    <w:rsid w:val="27831FCF"/>
    <w:rsid w:val="279D7857"/>
    <w:rsid w:val="27CD74BB"/>
    <w:rsid w:val="27FF5E1C"/>
    <w:rsid w:val="28227F7B"/>
    <w:rsid w:val="284276A6"/>
    <w:rsid w:val="2843621C"/>
    <w:rsid w:val="28451391"/>
    <w:rsid w:val="28525935"/>
    <w:rsid w:val="28602A0B"/>
    <w:rsid w:val="287E31E4"/>
    <w:rsid w:val="28F2772E"/>
    <w:rsid w:val="28F60FCD"/>
    <w:rsid w:val="292A39DA"/>
    <w:rsid w:val="294C1C1F"/>
    <w:rsid w:val="29940C45"/>
    <w:rsid w:val="29A669E4"/>
    <w:rsid w:val="29C72386"/>
    <w:rsid w:val="29E057D9"/>
    <w:rsid w:val="29E277A3"/>
    <w:rsid w:val="29EF1D30"/>
    <w:rsid w:val="2A067989"/>
    <w:rsid w:val="2A1060BE"/>
    <w:rsid w:val="2A26638D"/>
    <w:rsid w:val="2A2D60C6"/>
    <w:rsid w:val="2A52183C"/>
    <w:rsid w:val="2A840F15"/>
    <w:rsid w:val="2A8825CF"/>
    <w:rsid w:val="2A9A6145"/>
    <w:rsid w:val="2A9D0851"/>
    <w:rsid w:val="2AB432C8"/>
    <w:rsid w:val="2ABC6246"/>
    <w:rsid w:val="2ABC7FF4"/>
    <w:rsid w:val="2ACD3FAF"/>
    <w:rsid w:val="2ACF41CB"/>
    <w:rsid w:val="2AED4651"/>
    <w:rsid w:val="2AFC4894"/>
    <w:rsid w:val="2B287A8C"/>
    <w:rsid w:val="2B33475A"/>
    <w:rsid w:val="2B4C4227"/>
    <w:rsid w:val="2BB90312"/>
    <w:rsid w:val="2BF54705"/>
    <w:rsid w:val="2BFF63EA"/>
    <w:rsid w:val="2C29790B"/>
    <w:rsid w:val="2C83759B"/>
    <w:rsid w:val="2CA245A4"/>
    <w:rsid w:val="2CA94926"/>
    <w:rsid w:val="2CDA54CF"/>
    <w:rsid w:val="2D202ABC"/>
    <w:rsid w:val="2D6D3827"/>
    <w:rsid w:val="2E0E500A"/>
    <w:rsid w:val="2E1D0A4B"/>
    <w:rsid w:val="2E241C4F"/>
    <w:rsid w:val="2E243A14"/>
    <w:rsid w:val="2E373C55"/>
    <w:rsid w:val="2E586286"/>
    <w:rsid w:val="2E6920DA"/>
    <w:rsid w:val="2E6E5E05"/>
    <w:rsid w:val="2EA927C2"/>
    <w:rsid w:val="2ED81140"/>
    <w:rsid w:val="2F0F6D17"/>
    <w:rsid w:val="2F253081"/>
    <w:rsid w:val="2F260132"/>
    <w:rsid w:val="2F2A5E74"/>
    <w:rsid w:val="2F656EAC"/>
    <w:rsid w:val="2F67464D"/>
    <w:rsid w:val="2F7B71BA"/>
    <w:rsid w:val="2F8C4439"/>
    <w:rsid w:val="2F950E14"/>
    <w:rsid w:val="2F967073"/>
    <w:rsid w:val="2FC260AC"/>
    <w:rsid w:val="2FDB28EE"/>
    <w:rsid w:val="30703D5A"/>
    <w:rsid w:val="30855DEE"/>
    <w:rsid w:val="308617C2"/>
    <w:rsid w:val="30A61108"/>
    <w:rsid w:val="30A734F4"/>
    <w:rsid w:val="30AE5E53"/>
    <w:rsid w:val="30C553F9"/>
    <w:rsid w:val="30D07A25"/>
    <w:rsid w:val="30D53BBD"/>
    <w:rsid w:val="312B5ED3"/>
    <w:rsid w:val="31314381"/>
    <w:rsid w:val="31EF5153"/>
    <w:rsid w:val="323F10FE"/>
    <w:rsid w:val="328011D6"/>
    <w:rsid w:val="32803FFD"/>
    <w:rsid w:val="328407E5"/>
    <w:rsid w:val="32A94F6A"/>
    <w:rsid w:val="32AF361A"/>
    <w:rsid w:val="32C75788"/>
    <w:rsid w:val="32D270B2"/>
    <w:rsid w:val="32F347CF"/>
    <w:rsid w:val="33024A12"/>
    <w:rsid w:val="332D6991"/>
    <w:rsid w:val="33416E0F"/>
    <w:rsid w:val="3379476C"/>
    <w:rsid w:val="33930C20"/>
    <w:rsid w:val="339A3C0F"/>
    <w:rsid w:val="33B739EB"/>
    <w:rsid w:val="33B95A18"/>
    <w:rsid w:val="33D97696"/>
    <w:rsid w:val="341F4BB1"/>
    <w:rsid w:val="34313801"/>
    <w:rsid w:val="344C70BA"/>
    <w:rsid w:val="34565015"/>
    <w:rsid w:val="348034D9"/>
    <w:rsid w:val="34A54856"/>
    <w:rsid w:val="34AE4570"/>
    <w:rsid w:val="34B23B7D"/>
    <w:rsid w:val="35444631"/>
    <w:rsid w:val="354559A2"/>
    <w:rsid w:val="35481FE4"/>
    <w:rsid w:val="3563783A"/>
    <w:rsid w:val="35696FCA"/>
    <w:rsid w:val="35D7360C"/>
    <w:rsid w:val="35DC016C"/>
    <w:rsid w:val="35F25B5F"/>
    <w:rsid w:val="35F669D0"/>
    <w:rsid w:val="35FA5E74"/>
    <w:rsid w:val="36105698"/>
    <w:rsid w:val="361D5F18"/>
    <w:rsid w:val="364848E5"/>
    <w:rsid w:val="36575075"/>
    <w:rsid w:val="3659703F"/>
    <w:rsid w:val="367E0853"/>
    <w:rsid w:val="36A71B58"/>
    <w:rsid w:val="36F512CE"/>
    <w:rsid w:val="37263EDA"/>
    <w:rsid w:val="372938E0"/>
    <w:rsid w:val="372E04CB"/>
    <w:rsid w:val="373538DF"/>
    <w:rsid w:val="37411FAD"/>
    <w:rsid w:val="374F02FE"/>
    <w:rsid w:val="375C6DE7"/>
    <w:rsid w:val="376179F4"/>
    <w:rsid w:val="37AD13F0"/>
    <w:rsid w:val="37E111A8"/>
    <w:rsid w:val="37F41DD4"/>
    <w:rsid w:val="37FD4CFC"/>
    <w:rsid w:val="381D5BE4"/>
    <w:rsid w:val="388066C2"/>
    <w:rsid w:val="38EF0AF6"/>
    <w:rsid w:val="38FF2A0E"/>
    <w:rsid w:val="39455658"/>
    <w:rsid w:val="395D2D13"/>
    <w:rsid w:val="39900FC9"/>
    <w:rsid w:val="39A60CBB"/>
    <w:rsid w:val="39C31030"/>
    <w:rsid w:val="39CA1A6C"/>
    <w:rsid w:val="39DF437E"/>
    <w:rsid w:val="39E15381"/>
    <w:rsid w:val="3A031F40"/>
    <w:rsid w:val="3A3C4CAD"/>
    <w:rsid w:val="3A4D2A17"/>
    <w:rsid w:val="3A4D7A43"/>
    <w:rsid w:val="3A7B4F76"/>
    <w:rsid w:val="3A9051D4"/>
    <w:rsid w:val="3AAD1707"/>
    <w:rsid w:val="3ABC2872"/>
    <w:rsid w:val="3ADD1FEC"/>
    <w:rsid w:val="3AF665E8"/>
    <w:rsid w:val="3B193C88"/>
    <w:rsid w:val="3B2926E5"/>
    <w:rsid w:val="3B426A3A"/>
    <w:rsid w:val="3B4C0BE8"/>
    <w:rsid w:val="3BAA6B81"/>
    <w:rsid w:val="3BC03A3F"/>
    <w:rsid w:val="3BC3296D"/>
    <w:rsid w:val="3BEE0AD7"/>
    <w:rsid w:val="3BEF7806"/>
    <w:rsid w:val="3C771FDA"/>
    <w:rsid w:val="3CAB1DA5"/>
    <w:rsid w:val="3CF75F5B"/>
    <w:rsid w:val="3D1362F8"/>
    <w:rsid w:val="3D6B6F17"/>
    <w:rsid w:val="3D9C72B5"/>
    <w:rsid w:val="3DA3554B"/>
    <w:rsid w:val="3DE171F2"/>
    <w:rsid w:val="3DFF74F9"/>
    <w:rsid w:val="3E1975B3"/>
    <w:rsid w:val="3E1E3EFD"/>
    <w:rsid w:val="3E1F60C6"/>
    <w:rsid w:val="3E20523C"/>
    <w:rsid w:val="3E377C66"/>
    <w:rsid w:val="3E416A6C"/>
    <w:rsid w:val="3E5421C7"/>
    <w:rsid w:val="3E9A1FA2"/>
    <w:rsid w:val="3EBA22ED"/>
    <w:rsid w:val="3EC8169A"/>
    <w:rsid w:val="3EE651E8"/>
    <w:rsid w:val="3EF135CE"/>
    <w:rsid w:val="3EF20BD5"/>
    <w:rsid w:val="3F1B1C18"/>
    <w:rsid w:val="3F2147BA"/>
    <w:rsid w:val="3F23468E"/>
    <w:rsid w:val="3F3D66CD"/>
    <w:rsid w:val="3F6820A1"/>
    <w:rsid w:val="3F8D757D"/>
    <w:rsid w:val="3FAF7CCF"/>
    <w:rsid w:val="3FE71217"/>
    <w:rsid w:val="40032F10"/>
    <w:rsid w:val="40036F25"/>
    <w:rsid w:val="4008709B"/>
    <w:rsid w:val="405E5097"/>
    <w:rsid w:val="40845D7A"/>
    <w:rsid w:val="40A35A86"/>
    <w:rsid w:val="40EC058B"/>
    <w:rsid w:val="414C3A28"/>
    <w:rsid w:val="41582437"/>
    <w:rsid w:val="416273BA"/>
    <w:rsid w:val="421B1721"/>
    <w:rsid w:val="42383FAC"/>
    <w:rsid w:val="423F5E88"/>
    <w:rsid w:val="42480941"/>
    <w:rsid w:val="424B1F31"/>
    <w:rsid w:val="42570B33"/>
    <w:rsid w:val="427566C6"/>
    <w:rsid w:val="427A2817"/>
    <w:rsid w:val="42997141"/>
    <w:rsid w:val="42C61D0A"/>
    <w:rsid w:val="42CA25B3"/>
    <w:rsid w:val="42CA5E20"/>
    <w:rsid w:val="42F629C0"/>
    <w:rsid w:val="43167935"/>
    <w:rsid w:val="433110E4"/>
    <w:rsid w:val="43386447"/>
    <w:rsid w:val="433F0C7E"/>
    <w:rsid w:val="43591AAD"/>
    <w:rsid w:val="436A59FE"/>
    <w:rsid w:val="436A63E7"/>
    <w:rsid w:val="43D4637B"/>
    <w:rsid w:val="441C2393"/>
    <w:rsid w:val="44417800"/>
    <w:rsid w:val="444D03BE"/>
    <w:rsid w:val="44596F4D"/>
    <w:rsid w:val="4467358B"/>
    <w:rsid w:val="44692B43"/>
    <w:rsid w:val="4493183D"/>
    <w:rsid w:val="44983428"/>
    <w:rsid w:val="44D34460"/>
    <w:rsid w:val="44EB7C6B"/>
    <w:rsid w:val="4524289B"/>
    <w:rsid w:val="455A248C"/>
    <w:rsid w:val="45886740"/>
    <w:rsid w:val="45C2075D"/>
    <w:rsid w:val="45DB73BA"/>
    <w:rsid w:val="46084A3B"/>
    <w:rsid w:val="46134158"/>
    <w:rsid w:val="4626321E"/>
    <w:rsid w:val="465854EE"/>
    <w:rsid w:val="466E4515"/>
    <w:rsid w:val="467046F2"/>
    <w:rsid w:val="46825E1C"/>
    <w:rsid w:val="46A648CF"/>
    <w:rsid w:val="46B04A59"/>
    <w:rsid w:val="46BB4E28"/>
    <w:rsid w:val="46CB5083"/>
    <w:rsid w:val="46D25C7B"/>
    <w:rsid w:val="46DC3AA0"/>
    <w:rsid w:val="46DE6064"/>
    <w:rsid w:val="46E10F6A"/>
    <w:rsid w:val="47082817"/>
    <w:rsid w:val="476E5E82"/>
    <w:rsid w:val="47761232"/>
    <w:rsid w:val="478832E0"/>
    <w:rsid w:val="47AA3D60"/>
    <w:rsid w:val="47B54233"/>
    <w:rsid w:val="48142DC6"/>
    <w:rsid w:val="4827652E"/>
    <w:rsid w:val="483B2A48"/>
    <w:rsid w:val="48681DAD"/>
    <w:rsid w:val="48726F8F"/>
    <w:rsid w:val="48735EC5"/>
    <w:rsid w:val="48812C9C"/>
    <w:rsid w:val="48E875C0"/>
    <w:rsid w:val="49216BB5"/>
    <w:rsid w:val="49281145"/>
    <w:rsid w:val="492B49C3"/>
    <w:rsid w:val="493B457E"/>
    <w:rsid w:val="495A6EFE"/>
    <w:rsid w:val="495C67D2"/>
    <w:rsid w:val="499441BE"/>
    <w:rsid w:val="499917D4"/>
    <w:rsid w:val="49DE368B"/>
    <w:rsid w:val="49E443A7"/>
    <w:rsid w:val="4A0F52FD"/>
    <w:rsid w:val="4A130B0F"/>
    <w:rsid w:val="4A180350"/>
    <w:rsid w:val="4A222D97"/>
    <w:rsid w:val="4A375959"/>
    <w:rsid w:val="4AC06463"/>
    <w:rsid w:val="4AE30F48"/>
    <w:rsid w:val="4AE97230"/>
    <w:rsid w:val="4AF25783"/>
    <w:rsid w:val="4B0303DC"/>
    <w:rsid w:val="4B0E61F2"/>
    <w:rsid w:val="4B2A02F1"/>
    <w:rsid w:val="4B315A3D"/>
    <w:rsid w:val="4BC13280"/>
    <w:rsid w:val="4BDB5AD0"/>
    <w:rsid w:val="4BF10279"/>
    <w:rsid w:val="4BFC604B"/>
    <w:rsid w:val="4C5F1F0F"/>
    <w:rsid w:val="4C8E75EA"/>
    <w:rsid w:val="4C9170DB"/>
    <w:rsid w:val="4CE0771A"/>
    <w:rsid w:val="4D0803AA"/>
    <w:rsid w:val="4D205F7B"/>
    <w:rsid w:val="4D267823"/>
    <w:rsid w:val="4D2E64E3"/>
    <w:rsid w:val="4D4C4DB0"/>
    <w:rsid w:val="4D591E84"/>
    <w:rsid w:val="4D7817D8"/>
    <w:rsid w:val="4D891B60"/>
    <w:rsid w:val="4DB07C2A"/>
    <w:rsid w:val="4DDF5C24"/>
    <w:rsid w:val="4DE97B7C"/>
    <w:rsid w:val="4DEE04B5"/>
    <w:rsid w:val="4DEF230B"/>
    <w:rsid w:val="4DF53BA4"/>
    <w:rsid w:val="4E286CA1"/>
    <w:rsid w:val="4E320145"/>
    <w:rsid w:val="4E685FE7"/>
    <w:rsid w:val="4E816244"/>
    <w:rsid w:val="4E9B2306"/>
    <w:rsid w:val="4EA94903"/>
    <w:rsid w:val="4EB15812"/>
    <w:rsid w:val="4ECB5644"/>
    <w:rsid w:val="4F3552A4"/>
    <w:rsid w:val="4F6713FC"/>
    <w:rsid w:val="4F691C49"/>
    <w:rsid w:val="4F796EC7"/>
    <w:rsid w:val="4F8911BF"/>
    <w:rsid w:val="4FCC7ABC"/>
    <w:rsid w:val="50143AD0"/>
    <w:rsid w:val="50161C57"/>
    <w:rsid w:val="502F5A21"/>
    <w:rsid w:val="505B065D"/>
    <w:rsid w:val="50614CEB"/>
    <w:rsid w:val="50825881"/>
    <w:rsid w:val="50C07599"/>
    <w:rsid w:val="50E13A61"/>
    <w:rsid w:val="50EA500B"/>
    <w:rsid w:val="50F3118D"/>
    <w:rsid w:val="510148D2"/>
    <w:rsid w:val="510D251C"/>
    <w:rsid w:val="514C6BC5"/>
    <w:rsid w:val="515B1A65"/>
    <w:rsid w:val="515F359F"/>
    <w:rsid w:val="516C5A20"/>
    <w:rsid w:val="51720338"/>
    <w:rsid w:val="51B07991"/>
    <w:rsid w:val="51BA678C"/>
    <w:rsid w:val="51BF34A8"/>
    <w:rsid w:val="51C97465"/>
    <w:rsid w:val="51D06D58"/>
    <w:rsid w:val="51FD2B1C"/>
    <w:rsid w:val="51FD4661"/>
    <w:rsid w:val="51FE53DD"/>
    <w:rsid w:val="522956BF"/>
    <w:rsid w:val="522E717A"/>
    <w:rsid w:val="524140D1"/>
    <w:rsid w:val="52BD63D7"/>
    <w:rsid w:val="52F379D9"/>
    <w:rsid w:val="52FE6B4C"/>
    <w:rsid w:val="53277E51"/>
    <w:rsid w:val="535657A3"/>
    <w:rsid w:val="539E6911"/>
    <w:rsid w:val="539F61D0"/>
    <w:rsid w:val="53B06098"/>
    <w:rsid w:val="53B536AF"/>
    <w:rsid w:val="53D55AFF"/>
    <w:rsid w:val="53E247D1"/>
    <w:rsid w:val="54252842"/>
    <w:rsid w:val="545729B8"/>
    <w:rsid w:val="54801EA1"/>
    <w:rsid w:val="54C44855"/>
    <w:rsid w:val="54D062C6"/>
    <w:rsid w:val="55024EEA"/>
    <w:rsid w:val="55373092"/>
    <w:rsid w:val="553D0991"/>
    <w:rsid w:val="5563538C"/>
    <w:rsid w:val="558A64D4"/>
    <w:rsid w:val="55A82D9F"/>
    <w:rsid w:val="55BF6A67"/>
    <w:rsid w:val="560201EC"/>
    <w:rsid w:val="561C7965"/>
    <w:rsid w:val="561F3FB8"/>
    <w:rsid w:val="56360D28"/>
    <w:rsid w:val="5655645F"/>
    <w:rsid w:val="566E47F8"/>
    <w:rsid w:val="567173DF"/>
    <w:rsid w:val="56752F56"/>
    <w:rsid w:val="568C22B7"/>
    <w:rsid w:val="56934884"/>
    <w:rsid w:val="5697709C"/>
    <w:rsid w:val="56BE1520"/>
    <w:rsid w:val="56CB143B"/>
    <w:rsid w:val="56E542AB"/>
    <w:rsid w:val="56E61963"/>
    <w:rsid w:val="56E64579"/>
    <w:rsid w:val="56EF03B0"/>
    <w:rsid w:val="570E5BD1"/>
    <w:rsid w:val="572D4037"/>
    <w:rsid w:val="577559AD"/>
    <w:rsid w:val="57766971"/>
    <w:rsid w:val="57A27D72"/>
    <w:rsid w:val="57B6122B"/>
    <w:rsid w:val="57DA0CFD"/>
    <w:rsid w:val="57FD3D34"/>
    <w:rsid w:val="58050AE9"/>
    <w:rsid w:val="58160E11"/>
    <w:rsid w:val="583D15B1"/>
    <w:rsid w:val="583D3C51"/>
    <w:rsid w:val="586456A3"/>
    <w:rsid w:val="58FC6474"/>
    <w:rsid w:val="59061342"/>
    <w:rsid w:val="590671E4"/>
    <w:rsid w:val="5908587B"/>
    <w:rsid w:val="5919023C"/>
    <w:rsid w:val="592458D6"/>
    <w:rsid w:val="592939F8"/>
    <w:rsid w:val="59467864"/>
    <w:rsid w:val="59537DA4"/>
    <w:rsid w:val="59747B68"/>
    <w:rsid w:val="59A57D21"/>
    <w:rsid w:val="59A81331"/>
    <w:rsid w:val="59F36E54"/>
    <w:rsid w:val="5A563377"/>
    <w:rsid w:val="5A903103"/>
    <w:rsid w:val="5AA30734"/>
    <w:rsid w:val="5ACE4770"/>
    <w:rsid w:val="5B0222B5"/>
    <w:rsid w:val="5B092532"/>
    <w:rsid w:val="5B4202D2"/>
    <w:rsid w:val="5B571BB0"/>
    <w:rsid w:val="5B572DD7"/>
    <w:rsid w:val="5B7E0FDB"/>
    <w:rsid w:val="5B97623E"/>
    <w:rsid w:val="5C004BF3"/>
    <w:rsid w:val="5C117A91"/>
    <w:rsid w:val="5C1B024B"/>
    <w:rsid w:val="5C22391A"/>
    <w:rsid w:val="5C324D81"/>
    <w:rsid w:val="5C370ED4"/>
    <w:rsid w:val="5C3E620B"/>
    <w:rsid w:val="5C6852CE"/>
    <w:rsid w:val="5C704FC7"/>
    <w:rsid w:val="5C8930B0"/>
    <w:rsid w:val="5CA00D8C"/>
    <w:rsid w:val="5CA57443"/>
    <w:rsid w:val="5CC6692D"/>
    <w:rsid w:val="5CD9503E"/>
    <w:rsid w:val="5CE06555"/>
    <w:rsid w:val="5CE27BC8"/>
    <w:rsid w:val="5D2D053C"/>
    <w:rsid w:val="5D5061F6"/>
    <w:rsid w:val="5D864077"/>
    <w:rsid w:val="5D8C11C0"/>
    <w:rsid w:val="5D9B466C"/>
    <w:rsid w:val="5DA70E39"/>
    <w:rsid w:val="5DBB3FB7"/>
    <w:rsid w:val="5DBD18E4"/>
    <w:rsid w:val="5DE31301"/>
    <w:rsid w:val="5DF55E42"/>
    <w:rsid w:val="5E0302A0"/>
    <w:rsid w:val="5E483371"/>
    <w:rsid w:val="5E5C1ECC"/>
    <w:rsid w:val="5E766130"/>
    <w:rsid w:val="5E8B0DDB"/>
    <w:rsid w:val="5ECC6A0A"/>
    <w:rsid w:val="5F0E45BB"/>
    <w:rsid w:val="5F353288"/>
    <w:rsid w:val="5F576FC5"/>
    <w:rsid w:val="5F64242D"/>
    <w:rsid w:val="5F73441E"/>
    <w:rsid w:val="5F816997"/>
    <w:rsid w:val="5F8E5B8C"/>
    <w:rsid w:val="5FAB4F61"/>
    <w:rsid w:val="6002168D"/>
    <w:rsid w:val="60114495"/>
    <w:rsid w:val="603A0789"/>
    <w:rsid w:val="6049018B"/>
    <w:rsid w:val="606549B5"/>
    <w:rsid w:val="60695F4D"/>
    <w:rsid w:val="60887821"/>
    <w:rsid w:val="60D1764E"/>
    <w:rsid w:val="60E530F9"/>
    <w:rsid w:val="61047A23"/>
    <w:rsid w:val="61190C10"/>
    <w:rsid w:val="614B5652"/>
    <w:rsid w:val="615416F1"/>
    <w:rsid w:val="618131B6"/>
    <w:rsid w:val="61B40CD4"/>
    <w:rsid w:val="61C15914"/>
    <w:rsid w:val="61CF1626"/>
    <w:rsid w:val="61D8229A"/>
    <w:rsid w:val="61DD76FB"/>
    <w:rsid w:val="61F1440E"/>
    <w:rsid w:val="620165F3"/>
    <w:rsid w:val="621512DA"/>
    <w:rsid w:val="623E236D"/>
    <w:rsid w:val="624577B6"/>
    <w:rsid w:val="6278705F"/>
    <w:rsid w:val="62791EFC"/>
    <w:rsid w:val="62A25746"/>
    <w:rsid w:val="62B37102"/>
    <w:rsid w:val="62CC453C"/>
    <w:rsid w:val="62FA10DE"/>
    <w:rsid w:val="63043D0B"/>
    <w:rsid w:val="633A772C"/>
    <w:rsid w:val="634560D1"/>
    <w:rsid w:val="63937134"/>
    <w:rsid w:val="63A05019"/>
    <w:rsid w:val="63C82F64"/>
    <w:rsid w:val="63D66F36"/>
    <w:rsid w:val="63DB7685"/>
    <w:rsid w:val="63E8362C"/>
    <w:rsid w:val="644B7BA1"/>
    <w:rsid w:val="645371E5"/>
    <w:rsid w:val="647937CE"/>
    <w:rsid w:val="64B002B2"/>
    <w:rsid w:val="64BC23C3"/>
    <w:rsid w:val="64BE55F9"/>
    <w:rsid w:val="64CD3AD6"/>
    <w:rsid w:val="64DB0438"/>
    <w:rsid w:val="64F12F9F"/>
    <w:rsid w:val="650A776E"/>
    <w:rsid w:val="6510040A"/>
    <w:rsid w:val="65202952"/>
    <w:rsid w:val="6522560D"/>
    <w:rsid w:val="65634118"/>
    <w:rsid w:val="65931376"/>
    <w:rsid w:val="65983469"/>
    <w:rsid w:val="65AF5918"/>
    <w:rsid w:val="65E3788E"/>
    <w:rsid w:val="661E50E3"/>
    <w:rsid w:val="661F0E5C"/>
    <w:rsid w:val="662446C4"/>
    <w:rsid w:val="66320C82"/>
    <w:rsid w:val="668619A1"/>
    <w:rsid w:val="66A0377F"/>
    <w:rsid w:val="66A17883"/>
    <w:rsid w:val="66A837AC"/>
    <w:rsid w:val="67220C03"/>
    <w:rsid w:val="67346B89"/>
    <w:rsid w:val="673533EF"/>
    <w:rsid w:val="6740552D"/>
    <w:rsid w:val="6747066A"/>
    <w:rsid w:val="675E59B4"/>
    <w:rsid w:val="67851845"/>
    <w:rsid w:val="67966EFB"/>
    <w:rsid w:val="67B25C43"/>
    <w:rsid w:val="68026FA8"/>
    <w:rsid w:val="68066A26"/>
    <w:rsid w:val="680D1904"/>
    <w:rsid w:val="6844459F"/>
    <w:rsid w:val="6847624C"/>
    <w:rsid w:val="68525F07"/>
    <w:rsid w:val="685F0B80"/>
    <w:rsid w:val="68600FFA"/>
    <w:rsid w:val="6864524C"/>
    <w:rsid w:val="68A27B0E"/>
    <w:rsid w:val="68B020F4"/>
    <w:rsid w:val="68E908EC"/>
    <w:rsid w:val="69285A60"/>
    <w:rsid w:val="698A395E"/>
    <w:rsid w:val="6992608B"/>
    <w:rsid w:val="699570B5"/>
    <w:rsid w:val="69B01180"/>
    <w:rsid w:val="69BB34CE"/>
    <w:rsid w:val="69CF15E5"/>
    <w:rsid w:val="69E614B1"/>
    <w:rsid w:val="6A2C0939"/>
    <w:rsid w:val="6A641533"/>
    <w:rsid w:val="6A7259FE"/>
    <w:rsid w:val="6A7A6FA8"/>
    <w:rsid w:val="6A835E5D"/>
    <w:rsid w:val="6A914C2E"/>
    <w:rsid w:val="6A9F179B"/>
    <w:rsid w:val="6AA06A0F"/>
    <w:rsid w:val="6B3100DA"/>
    <w:rsid w:val="6B3741A9"/>
    <w:rsid w:val="6B3F0FA1"/>
    <w:rsid w:val="6B5453A3"/>
    <w:rsid w:val="6B6A5649"/>
    <w:rsid w:val="6B7F5164"/>
    <w:rsid w:val="6B8A2897"/>
    <w:rsid w:val="6BAC4F3F"/>
    <w:rsid w:val="6BCE617F"/>
    <w:rsid w:val="6BE446D9"/>
    <w:rsid w:val="6BFD042D"/>
    <w:rsid w:val="6C042213"/>
    <w:rsid w:val="6C0E6DCB"/>
    <w:rsid w:val="6C1968E6"/>
    <w:rsid w:val="6C7468DA"/>
    <w:rsid w:val="6CAD5061"/>
    <w:rsid w:val="6CC664D5"/>
    <w:rsid w:val="6CE60925"/>
    <w:rsid w:val="6D3B2A1F"/>
    <w:rsid w:val="6D4129B3"/>
    <w:rsid w:val="6D9E174B"/>
    <w:rsid w:val="6DB061C5"/>
    <w:rsid w:val="6DB427D1"/>
    <w:rsid w:val="6DDB1133"/>
    <w:rsid w:val="6DF66E32"/>
    <w:rsid w:val="6E043CE5"/>
    <w:rsid w:val="6E1257BA"/>
    <w:rsid w:val="6E2434B3"/>
    <w:rsid w:val="6E3557C1"/>
    <w:rsid w:val="6E3A0F28"/>
    <w:rsid w:val="6E5D0773"/>
    <w:rsid w:val="6E78720F"/>
    <w:rsid w:val="6E9A19C7"/>
    <w:rsid w:val="6E9D3265"/>
    <w:rsid w:val="6ED529FF"/>
    <w:rsid w:val="6ED73783"/>
    <w:rsid w:val="6EE55016"/>
    <w:rsid w:val="6EFF14CE"/>
    <w:rsid w:val="6EFF182A"/>
    <w:rsid w:val="6F644C09"/>
    <w:rsid w:val="6F6876D7"/>
    <w:rsid w:val="6F80296B"/>
    <w:rsid w:val="6F9045A8"/>
    <w:rsid w:val="6FA15CF0"/>
    <w:rsid w:val="6FA26D85"/>
    <w:rsid w:val="6FC2398C"/>
    <w:rsid w:val="6FFE23EE"/>
    <w:rsid w:val="7000585A"/>
    <w:rsid w:val="70074E3A"/>
    <w:rsid w:val="702D0AED"/>
    <w:rsid w:val="704C739A"/>
    <w:rsid w:val="709661BE"/>
    <w:rsid w:val="70A611EB"/>
    <w:rsid w:val="70B9770B"/>
    <w:rsid w:val="70C2380D"/>
    <w:rsid w:val="70C40E98"/>
    <w:rsid w:val="70E21403"/>
    <w:rsid w:val="713C393C"/>
    <w:rsid w:val="718030F6"/>
    <w:rsid w:val="71A30B93"/>
    <w:rsid w:val="71A75801"/>
    <w:rsid w:val="71C50B09"/>
    <w:rsid w:val="71E847F7"/>
    <w:rsid w:val="72097720"/>
    <w:rsid w:val="72103E57"/>
    <w:rsid w:val="722069A3"/>
    <w:rsid w:val="727B3450"/>
    <w:rsid w:val="72914E8F"/>
    <w:rsid w:val="72C50FCD"/>
    <w:rsid w:val="72C963D7"/>
    <w:rsid w:val="72F60CDC"/>
    <w:rsid w:val="731D31B5"/>
    <w:rsid w:val="73307DA3"/>
    <w:rsid w:val="735F14A2"/>
    <w:rsid w:val="73A4669F"/>
    <w:rsid w:val="73CC0E56"/>
    <w:rsid w:val="74181E00"/>
    <w:rsid w:val="745729CD"/>
    <w:rsid w:val="74892554"/>
    <w:rsid w:val="74B41E98"/>
    <w:rsid w:val="74C432FA"/>
    <w:rsid w:val="74F6537A"/>
    <w:rsid w:val="75045B80"/>
    <w:rsid w:val="750B08EC"/>
    <w:rsid w:val="750C0EBF"/>
    <w:rsid w:val="753A206F"/>
    <w:rsid w:val="75501031"/>
    <w:rsid w:val="75BF1118"/>
    <w:rsid w:val="75BF20BD"/>
    <w:rsid w:val="75D56102"/>
    <w:rsid w:val="75DD15D5"/>
    <w:rsid w:val="76157B85"/>
    <w:rsid w:val="762B1157"/>
    <w:rsid w:val="764D028E"/>
    <w:rsid w:val="764E0AF3"/>
    <w:rsid w:val="768B49CA"/>
    <w:rsid w:val="768C42EB"/>
    <w:rsid w:val="76BE7678"/>
    <w:rsid w:val="76C92E49"/>
    <w:rsid w:val="76E718E9"/>
    <w:rsid w:val="7740356F"/>
    <w:rsid w:val="774C0DF4"/>
    <w:rsid w:val="77577765"/>
    <w:rsid w:val="77593D8B"/>
    <w:rsid w:val="77674A82"/>
    <w:rsid w:val="776F5732"/>
    <w:rsid w:val="778B3324"/>
    <w:rsid w:val="77927652"/>
    <w:rsid w:val="77A907A1"/>
    <w:rsid w:val="77DA1086"/>
    <w:rsid w:val="78045017"/>
    <w:rsid w:val="78212BFC"/>
    <w:rsid w:val="785A037D"/>
    <w:rsid w:val="78812374"/>
    <w:rsid w:val="78847080"/>
    <w:rsid w:val="78925A31"/>
    <w:rsid w:val="78B5499D"/>
    <w:rsid w:val="78D82506"/>
    <w:rsid w:val="79097AE5"/>
    <w:rsid w:val="79125B9C"/>
    <w:rsid w:val="791F3252"/>
    <w:rsid w:val="79342CBA"/>
    <w:rsid w:val="79382508"/>
    <w:rsid w:val="79425135"/>
    <w:rsid w:val="795A422D"/>
    <w:rsid w:val="795C4E38"/>
    <w:rsid w:val="7973688C"/>
    <w:rsid w:val="79B600AA"/>
    <w:rsid w:val="79D964C9"/>
    <w:rsid w:val="7A2E5081"/>
    <w:rsid w:val="7A3C3932"/>
    <w:rsid w:val="7ADB5C13"/>
    <w:rsid w:val="7ADE49EA"/>
    <w:rsid w:val="7B14665D"/>
    <w:rsid w:val="7B1F5E7E"/>
    <w:rsid w:val="7B39454A"/>
    <w:rsid w:val="7B3D3B4B"/>
    <w:rsid w:val="7B405094"/>
    <w:rsid w:val="7B4B4DA3"/>
    <w:rsid w:val="7B5B428C"/>
    <w:rsid w:val="7B892BA7"/>
    <w:rsid w:val="7BD331F6"/>
    <w:rsid w:val="7CE3278B"/>
    <w:rsid w:val="7CF46746"/>
    <w:rsid w:val="7CF75659"/>
    <w:rsid w:val="7CF75A47"/>
    <w:rsid w:val="7D0E43F6"/>
    <w:rsid w:val="7D781125"/>
    <w:rsid w:val="7D7973ED"/>
    <w:rsid w:val="7D903898"/>
    <w:rsid w:val="7DA109CA"/>
    <w:rsid w:val="7DA74976"/>
    <w:rsid w:val="7DC10D1E"/>
    <w:rsid w:val="7DC97954"/>
    <w:rsid w:val="7E0223B6"/>
    <w:rsid w:val="7E0A5CDC"/>
    <w:rsid w:val="7E1E14F2"/>
    <w:rsid w:val="7E935CDA"/>
    <w:rsid w:val="7E9C52E7"/>
    <w:rsid w:val="7EAD1A79"/>
    <w:rsid w:val="7EEF5417"/>
    <w:rsid w:val="7F0A3FFF"/>
    <w:rsid w:val="7F0C421B"/>
    <w:rsid w:val="7F0E76BB"/>
    <w:rsid w:val="7F6F0306"/>
    <w:rsid w:val="7F7658C7"/>
    <w:rsid w:val="7F9D1317"/>
    <w:rsid w:val="7FA90C25"/>
    <w:rsid w:val="7FBD72C3"/>
    <w:rsid w:val="7FD64829"/>
    <w:rsid w:val="7FDC260C"/>
    <w:rsid w:val="7FE40CF4"/>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99"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61"/>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265"/>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250"/>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25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67"/>
    <w:qFormat/>
    <w:uiPriority w:val="9"/>
    <w:pPr>
      <w:keepNext/>
      <w:outlineLvl w:val="4"/>
    </w:pPr>
    <w:rPr>
      <w:rFonts w:ascii="宋体" w:hAnsi="Arial"/>
      <w:bCs/>
      <w:sz w:val="28"/>
      <w:szCs w:val="20"/>
    </w:rPr>
  </w:style>
  <w:style w:type="paragraph" w:styleId="8">
    <w:name w:val="heading 6"/>
    <w:basedOn w:val="1"/>
    <w:next w:val="1"/>
    <w:link w:val="269"/>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259"/>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274"/>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275"/>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66"/>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273"/>
    <w:qFormat/>
    <w:uiPriority w:val="0"/>
    <w:pPr>
      <w:shd w:val="clear" w:color="auto" w:fill="000080"/>
    </w:pPr>
    <w:rPr>
      <w:szCs w:val="20"/>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262"/>
    <w:qFormat/>
    <w:uiPriority w:val="0"/>
    <w:pPr>
      <w:jc w:val="left"/>
    </w:pPr>
    <w:rPr>
      <w:szCs w:val="20"/>
    </w:rPr>
  </w:style>
  <w:style w:type="paragraph" w:styleId="22">
    <w:name w:val="index 6"/>
    <w:basedOn w:val="1"/>
    <w:next w:val="1"/>
    <w:qFormat/>
    <w:uiPriority w:val="0"/>
    <w:pPr>
      <w:ind w:left="1000" w:leftChars="1000"/>
    </w:pPr>
    <w:rPr>
      <w:szCs w:val="20"/>
    </w:rPr>
  </w:style>
  <w:style w:type="paragraph" w:styleId="23">
    <w:name w:val="Salutation"/>
    <w:basedOn w:val="1"/>
    <w:next w:val="1"/>
    <w:link w:val="276"/>
    <w:qFormat/>
    <w:uiPriority w:val="0"/>
    <w:rPr>
      <w:rFonts w:ascii="仿宋_GB2312" w:hAnsi="Calibri" w:eastAsia="仿宋_GB2312"/>
      <w:bCs/>
      <w:sz w:val="28"/>
      <w:szCs w:val="20"/>
    </w:rPr>
  </w:style>
  <w:style w:type="paragraph" w:styleId="24">
    <w:name w:val="Body Text 3"/>
    <w:basedOn w:val="1"/>
    <w:link w:val="252"/>
    <w:qFormat/>
    <w:uiPriority w:val="0"/>
    <w:rPr>
      <w:rFonts w:ascii="黑体" w:hAnsi="Arial" w:eastAsia="黑体"/>
      <w:b/>
      <w:sz w:val="28"/>
      <w:szCs w:val="20"/>
    </w:rPr>
  </w:style>
  <w:style w:type="paragraph" w:styleId="25">
    <w:name w:val="Body Text"/>
    <w:basedOn w:val="1"/>
    <w:link w:val="258"/>
    <w:qFormat/>
    <w:uiPriority w:val="0"/>
    <w:rPr>
      <w:rFonts w:ascii="宋体" w:hAnsi="Arial"/>
      <w:sz w:val="28"/>
      <w:szCs w:val="20"/>
    </w:rPr>
  </w:style>
  <w:style w:type="paragraph" w:styleId="26">
    <w:name w:val="Body Text Indent"/>
    <w:basedOn w:val="1"/>
    <w:link w:val="271"/>
    <w:qFormat/>
    <w:uiPriority w:val="0"/>
    <w:pPr>
      <w:ind w:firstLine="645"/>
    </w:pPr>
    <w:rPr>
      <w:rFonts w:ascii="楷体_GB2312" w:eastAsia="楷体_GB2312"/>
      <w:sz w:val="32"/>
      <w:szCs w:val="20"/>
    </w:rPr>
  </w:style>
  <w:style w:type="paragraph" w:styleId="27">
    <w:name w:val="List 2"/>
    <w:basedOn w:val="1"/>
    <w:qFormat/>
    <w:uiPriority w:val="0"/>
    <w:pPr>
      <w:ind w:left="100" w:leftChars="200" w:hanging="200" w:hangingChars="200"/>
    </w:pPr>
    <w:rPr>
      <w:rFonts w:ascii="Calibri" w:hAnsi="Calibri"/>
    </w:rPr>
  </w:style>
  <w:style w:type="paragraph" w:styleId="28">
    <w:name w:val="List Continue"/>
    <w:basedOn w:val="1"/>
    <w:qFormat/>
    <w:uiPriority w:val="0"/>
    <w:pPr>
      <w:spacing w:after="120"/>
      <w:ind w:left="420" w:leftChars="200"/>
    </w:pPr>
    <w:rPr>
      <w:rFonts w:ascii="Calibri" w:hAnsi="Calibri"/>
    </w:rPr>
  </w:style>
  <w:style w:type="paragraph" w:styleId="29">
    <w:name w:val="Block Text"/>
    <w:basedOn w:val="1"/>
    <w:qFormat/>
    <w:uiPriority w:val="0"/>
    <w:pPr>
      <w:spacing w:after="156"/>
    </w:pPr>
    <w:rPr>
      <w:rFonts w:ascii="宋体"/>
    </w:rPr>
  </w:style>
  <w:style w:type="paragraph" w:styleId="30">
    <w:name w:val="index 4"/>
    <w:basedOn w:val="1"/>
    <w:next w:val="1"/>
    <w:qFormat/>
    <w:uiPriority w:val="0"/>
    <w:pPr>
      <w:ind w:left="600" w:leftChars="600"/>
    </w:pPr>
    <w:rPr>
      <w:szCs w:val="20"/>
    </w:rPr>
  </w:style>
  <w:style w:type="paragraph" w:styleId="31">
    <w:name w:val="toc 5"/>
    <w:basedOn w:val="1"/>
    <w:next w:val="1"/>
    <w:qFormat/>
    <w:uiPriority w:val="39"/>
    <w:pPr>
      <w:ind w:left="840"/>
      <w:jc w:val="left"/>
    </w:pPr>
    <w:rPr>
      <w:szCs w:val="21"/>
    </w:rPr>
  </w:style>
  <w:style w:type="paragraph" w:styleId="32">
    <w:name w:val="toc 3"/>
    <w:basedOn w:val="1"/>
    <w:next w:val="1"/>
    <w:qFormat/>
    <w:uiPriority w:val="39"/>
    <w:pPr>
      <w:tabs>
        <w:tab w:val="right" w:leader="dot" w:pos="9403"/>
      </w:tabs>
      <w:spacing w:line="380" w:lineRule="exact"/>
      <w:ind w:left="420"/>
      <w:jc w:val="left"/>
    </w:pPr>
    <w:rPr>
      <w:i/>
      <w:iCs/>
      <w:szCs w:val="24"/>
    </w:rPr>
  </w:style>
  <w:style w:type="paragraph" w:styleId="33">
    <w:name w:val="Plain Text"/>
    <w:basedOn w:val="1"/>
    <w:link w:val="263"/>
    <w:qFormat/>
    <w:uiPriority w:val="0"/>
    <w:rPr>
      <w:rFonts w:ascii="宋体" w:hAnsi="Courier New"/>
      <w:szCs w:val="20"/>
    </w:rPr>
  </w:style>
  <w:style w:type="paragraph" w:styleId="34">
    <w:name w:val="toc 8"/>
    <w:basedOn w:val="1"/>
    <w:next w:val="1"/>
    <w:qFormat/>
    <w:uiPriority w:val="39"/>
    <w:pPr>
      <w:ind w:left="1470"/>
      <w:jc w:val="left"/>
    </w:pPr>
    <w:rPr>
      <w:szCs w:val="21"/>
    </w:rPr>
  </w:style>
  <w:style w:type="paragraph" w:styleId="35">
    <w:name w:val="index 3"/>
    <w:basedOn w:val="1"/>
    <w:next w:val="1"/>
    <w:qFormat/>
    <w:uiPriority w:val="0"/>
    <w:pPr>
      <w:ind w:left="400" w:leftChars="400"/>
    </w:pPr>
    <w:rPr>
      <w:szCs w:val="20"/>
    </w:rPr>
  </w:style>
  <w:style w:type="paragraph" w:styleId="36">
    <w:name w:val="Date"/>
    <w:basedOn w:val="1"/>
    <w:next w:val="1"/>
    <w:link w:val="253"/>
    <w:qFormat/>
    <w:uiPriority w:val="0"/>
    <w:rPr>
      <w:b/>
      <w:sz w:val="28"/>
      <w:szCs w:val="20"/>
    </w:rPr>
  </w:style>
  <w:style w:type="paragraph" w:styleId="37">
    <w:name w:val="Body Text Indent 2"/>
    <w:basedOn w:val="1"/>
    <w:link w:val="260"/>
    <w:qFormat/>
    <w:uiPriority w:val="0"/>
    <w:pPr>
      <w:ind w:left="630" w:firstLine="645"/>
    </w:pPr>
    <w:rPr>
      <w:rFonts w:ascii="Arial" w:hAnsi="Arial" w:eastAsia="仿宋_GB2312"/>
      <w:sz w:val="32"/>
      <w:szCs w:val="20"/>
    </w:rPr>
  </w:style>
  <w:style w:type="paragraph" w:styleId="38">
    <w:name w:val="endnote text"/>
    <w:basedOn w:val="1"/>
    <w:link w:val="455"/>
    <w:unhideWhenUsed/>
    <w:qFormat/>
    <w:uiPriority w:val="0"/>
    <w:pPr>
      <w:snapToGrid w:val="0"/>
      <w:jc w:val="left"/>
    </w:pPr>
    <w:rPr>
      <w:rFonts w:ascii="Calibri" w:hAnsi="Calibri" w:cs="黑体"/>
    </w:rPr>
  </w:style>
  <w:style w:type="paragraph" w:styleId="39">
    <w:name w:val="Balloon Text"/>
    <w:basedOn w:val="1"/>
    <w:link w:val="251"/>
    <w:qFormat/>
    <w:uiPriority w:val="0"/>
    <w:rPr>
      <w:sz w:val="18"/>
      <w:szCs w:val="18"/>
    </w:rPr>
  </w:style>
  <w:style w:type="paragraph" w:styleId="40">
    <w:name w:val="footer"/>
    <w:basedOn w:val="1"/>
    <w:link w:val="255"/>
    <w:qFormat/>
    <w:uiPriority w:val="99"/>
    <w:pPr>
      <w:tabs>
        <w:tab w:val="center" w:pos="4153"/>
        <w:tab w:val="right" w:pos="8306"/>
      </w:tabs>
      <w:snapToGrid w:val="0"/>
      <w:jc w:val="left"/>
    </w:pPr>
    <w:rPr>
      <w:sz w:val="18"/>
      <w:szCs w:val="20"/>
    </w:rPr>
  </w:style>
  <w:style w:type="paragraph" w:styleId="41">
    <w:name w:val="header"/>
    <w:basedOn w:val="1"/>
    <w:link w:val="264"/>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309"/>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280"/>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268"/>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257"/>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44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1">
    <w:name w:val="Normal (Web)"/>
    <w:basedOn w:val="1"/>
    <w:link w:val="482"/>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4"/>
    <w:next w:val="1"/>
    <w:link w:val="279"/>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1"/>
    <w:next w:val="21"/>
    <w:link w:val="272"/>
    <w:unhideWhenUsed/>
    <w:qFormat/>
    <w:uiPriority w:val="99"/>
    <w:rPr>
      <w:b/>
      <w:bCs/>
      <w:szCs w:val="22"/>
    </w:rPr>
  </w:style>
  <w:style w:type="paragraph" w:styleId="65">
    <w:name w:val="Body Text First Indent"/>
    <w:basedOn w:val="1"/>
    <w:link w:val="254"/>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6">
    <w:name w:val="Body Text First Indent 2"/>
    <w:basedOn w:val="26"/>
    <w:link w:val="447"/>
    <w:unhideWhenUsed/>
    <w:qFormat/>
    <w:uiPriority w:val="99"/>
    <w:pPr>
      <w:spacing w:after="120"/>
      <w:ind w:left="420" w:leftChars="200" w:firstLine="420" w:firstLineChars="200"/>
    </w:pPr>
    <w:rPr>
      <w:rFonts w:ascii="Times New Roman" w:eastAsia="宋体"/>
      <w:sz w:val="21"/>
      <w:szCs w:val="22"/>
    </w:rPr>
  </w:style>
  <w:style w:type="table" w:styleId="68">
    <w:name w:val="Table Grid"/>
    <w:basedOn w:val="67"/>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0">
    <w:name w:val="Strong"/>
    <w:qFormat/>
    <w:uiPriority w:val="0"/>
    <w:rPr>
      <w:b/>
      <w:bCs/>
    </w:rPr>
  </w:style>
  <w:style w:type="character" w:styleId="71">
    <w:name w:val="endnote reference"/>
    <w:unhideWhenUsed/>
    <w:qFormat/>
    <w:uiPriority w:val="0"/>
    <w:rPr>
      <w:vertAlign w:val="superscript"/>
    </w:rPr>
  </w:style>
  <w:style w:type="character" w:styleId="72">
    <w:name w:val="page number"/>
    <w:qFormat/>
    <w:uiPriority w:val="99"/>
  </w:style>
  <w:style w:type="character" w:styleId="73">
    <w:name w:val="FollowedHyperlink"/>
    <w:qFormat/>
    <w:uiPriority w:val="99"/>
    <w:rPr>
      <w:color w:val="800080"/>
      <w:u w:val="single"/>
    </w:rPr>
  </w:style>
  <w:style w:type="character" w:styleId="74">
    <w:name w:val="Emphasis"/>
    <w:qFormat/>
    <w:uiPriority w:val="0"/>
    <w:rPr>
      <w:color w:val="CC0033"/>
    </w:rPr>
  </w:style>
  <w:style w:type="character" w:styleId="75">
    <w:name w:val="HTML Definition"/>
    <w:qFormat/>
    <w:uiPriority w:val="0"/>
  </w:style>
  <w:style w:type="character" w:styleId="76">
    <w:name w:val="HTML Typewriter"/>
    <w:qFormat/>
    <w:uiPriority w:val="0"/>
    <w:rPr>
      <w:rFonts w:ascii="宋体" w:hAnsi="宋体" w:eastAsia="宋体" w:cs="宋体"/>
      <w:sz w:val="24"/>
      <w:szCs w:val="24"/>
    </w:rPr>
  </w:style>
  <w:style w:type="character" w:styleId="77">
    <w:name w:val="HTML Variable"/>
    <w:qFormat/>
    <w:uiPriority w:val="0"/>
  </w:style>
  <w:style w:type="character" w:styleId="78">
    <w:name w:val="Hyperlink"/>
    <w:qFormat/>
    <w:uiPriority w:val="99"/>
    <w:rPr>
      <w:color w:val="0000FF"/>
      <w:u w:val="single"/>
    </w:rPr>
  </w:style>
  <w:style w:type="character" w:styleId="79">
    <w:name w:val="HTML Code"/>
    <w:qFormat/>
    <w:uiPriority w:val="0"/>
    <w:rPr>
      <w:rFonts w:hint="eastAsia" w:ascii="Arial" w:hAnsi="Arial" w:cs="Arial"/>
      <w:sz w:val="20"/>
    </w:rPr>
  </w:style>
  <w:style w:type="character" w:styleId="80">
    <w:name w:val="annotation reference"/>
    <w:unhideWhenUsed/>
    <w:qFormat/>
    <w:uiPriority w:val="99"/>
    <w:rPr>
      <w:sz w:val="21"/>
      <w:szCs w:val="21"/>
    </w:rPr>
  </w:style>
  <w:style w:type="character" w:styleId="81">
    <w:name w:val="HTML Cite"/>
    <w:qFormat/>
    <w:uiPriority w:val="0"/>
  </w:style>
  <w:style w:type="character" w:styleId="82">
    <w:name w:val="footnote reference"/>
    <w:qFormat/>
    <w:uiPriority w:val="0"/>
    <w:rPr>
      <w:vertAlign w:val="superscript"/>
    </w:rPr>
  </w:style>
  <w:style w:type="character" w:styleId="83">
    <w:name w:val="HTML Keyboard"/>
    <w:qFormat/>
    <w:uiPriority w:val="0"/>
    <w:rPr>
      <w:rFonts w:hint="default" w:ascii="Arial" w:hAnsi="Arial" w:cs="Arial"/>
      <w:sz w:val="20"/>
    </w:rPr>
  </w:style>
  <w:style w:type="character" w:styleId="84">
    <w:name w:val="HTML Sample"/>
    <w:qFormat/>
    <w:uiPriority w:val="0"/>
    <w:rPr>
      <w:rFonts w:hint="default" w:ascii="Arial" w:hAnsi="Arial" w:cs="Arial"/>
    </w:rPr>
  </w:style>
  <w:style w:type="paragraph" w:customStyle="1" w:styleId="85">
    <w:name w:val="样式1"/>
    <w:basedOn w:val="1"/>
    <w:link w:val="266"/>
    <w:qFormat/>
    <w:uiPriority w:val="0"/>
    <w:pPr>
      <w:tabs>
        <w:tab w:val="left" w:pos="709"/>
      </w:tabs>
      <w:adjustRightInd w:val="0"/>
      <w:ind w:left="709" w:hanging="709"/>
      <w:textAlignment w:val="baseline"/>
    </w:pPr>
    <w:rPr>
      <w:rFonts w:ascii="宋体" w:hAnsi="宋体"/>
      <w:kern w:val="0"/>
      <w:szCs w:val="20"/>
    </w:rPr>
  </w:style>
  <w:style w:type="paragraph" w:customStyle="1" w:styleId="86">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87">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89">
    <w:name w:val="p0"/>
    <w:basedOn w:val="1"/>
    <w:qFormat/>
    <w:uiPriority w:val="0"/>
    <w:pPr>
      <w:widowControl/>
    </w:pPr>
    <w:rPr>
      <w:kern w:val="0"/>
      <w:szCs w:val="21"/>
    </w:rPr>
  </w:style>
  <w:style w:type="paragraph" w:customStyle="1" w:styleId="90">
    <w:name w:val="Char"/>
    <w:basedOn w:val="1"/>
    <w:qFormat/>
    <w:uiPriority w:val="0"/>
    <w:rPr>
      <w:rFonts w:ascii="Tahoma" w:hAnsi="Tahoma"/>
      <w:sz w:val="24"/>
      <w:szCs w:val="20"/>
    </w:rPr>
  </w:style>
  <w:style w:type="paragraph" w:customStyle="1" w:styleId="91">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二级标题"/>
    <w:basedOn w:val="1"/>
    <w:next w:val="94"/>
    <w:qFormat/>
    <w:uiPriority w:val="0"/>
    <w:pPr>
      <w:tabs>
        <w:tab w:val="left" w:pos="992"/>
      </w:tabs>
      <w:ind w:left="992" w:hanging="567"/>
      <w:outlineLvl w:val="1"/>
    </w:pPr>
    <w:rPr>
      <w:rFonts w:ascii="黑体" w:eastAsia="黑体"/>
      <w:sz w:val="28"/>
      <w:szCs w:val="24"/>
    </w:rPr>
  </w:style>
  <w:style w:type="paragraph" w:customStyle="1" w:styleId="94">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95">
    <w:name w:val="Char Char Char Char"/>
    <w:basedOn w:val="1"/>
    <w:qFormat/>
    <w:uiPriority w:val="0"/>
    <w:pPr>
      <w:widowControl/>
      <w:spacing w:after="160" w:line="240" w:lineRule="exact"/>
      <w:jc w:val="left"/>
    </w:pPr>
    <w:rPr>
      <w:kern w:val="0"/>
      <w:sz w:val="24"/>
      <w:szCs w:val="24"/>
    </w:rPr>
  </w:style>
  <w:style w:type="paragraph" w:customStyle="1" w:styleId="96">
    <w:name w:val="列表段落1"/>
    <w:basedOn w:val="1"/>
    <w:qFormat/>
    <w:uiPriority w:val="34"/>
    <w:pPr>
      <w:ind w:firstLine="420" w:firstLineChars="200"/>
    </w:pPr>
  </w:style>
  <w:style w:type="paragraph" w:customStyle="1" w:styleId="97">
    <w:name w:val="一级标题"/>
    <w:basedOn w:val="1"/>
    <w:next w:val="93"/>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9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9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基本文字 Char"/>
    <w:basedOn w:val="1"/>
    <w:qFormat/>
    <w:uiPriority w:val="0"/>
    <w:pPr>
      <w:spacing w:before="156" w:line="400" w:lineRule="atLeast"/>
      <w:ind w:firstLine="540" w:firstLineChars="225"/>
    </w:pPr>
    <w:rPr>
      <w:sz w:val="24"/>
      <w:szCs w:val="20"/>
    </w:rPr>
  </w:style>
  <w:style w:type="paragraph" w:customStyle="1" w:styleId="10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3">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04">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7">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8">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09">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10">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11">
    <w:name w:val="Default"/>
    <w:link w:val="479"/>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2">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13">
    <w:name w:val="Char1"/>
    <w:basedOn w:val="1"/>
    <w:qFormat/>
    <w:uiPriority w:val="0"/>
    <w:rPr>
      <w:rFonts w:ascii="Calibri" w:hAnsi="Calibri"/>
    </w:rPr>
  </w:style>
  <w:style w:type="paragraph" w:customStyle="1" w:styleId="114">
    <w:name w:val="Char Char Char Char Char Char"/>
    <w:basedOn w:val="1"/>
    <w:qFormat/>
    <w:uiPriority w:val="0"/>
    <w:rPr>
      <w:rFonts w:ascii="Tahoma" w:hAnsi="Tahoma"/>
      <w:sz w:val="24"/>
      <w:szCs w:val="20"/>
    </w:rPr>
  </w:style>
  <w:style w:type="paragraph" w:customStyle="1" w:styleId="115">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Blockquote"/>
    <w:basedOn w:val="1"/>
    <w:link w:val="277"/>
    <w:qFormat/>
    <w:uiPriority w:val="0"/>
    <w:pPr>
      <w:autoSpaceDE w:val="0"/>
      <w:autoSpaceDN w:val="0"/>
      <w:adjustRightInd w:val="0"/>
      <w:spacing w:before="100" w:after="100"/>
      <w:ind w:left="360" w:right="360"/>
      <w:jc w:val="left"/>
    </w:pPr>
    <w:rPr>
      <w:kern w:val="0"/>
      <w:sz w:val="24"/>
      <w:szCs w:val="20"/>
    </w:rPr>
  </w:style>
  <w:style w:type="paragraph" w:customStyle="1" w:styleId="117">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paragraph" w:customStyle="1" w:styleId="119">
    <w:name w:val="段落2"/>
    <w:basedOn w:val="1"/>
    <w:qFormat/>
    <w:uiPriority w:val="0"/>
    <w:pPr>
      <w:spacing w:line="360" w:lineRule="auto"/>
      <w:ind w:firstLine="480" w:firstLineChars="200"/>
    </w:pPr>
    <w:rPr>
      <w:rFonts w:ascii="Calibri" w:hAnsi="Calibri" w:cs="Courier New"/>
      <w:sz w:val="24"/>
      <w:szCs w:val="21"/>
    </w:rPr>
  </w:style>
  <w:style w:type="paragraph" w:customStyle="1" w:styleId="120">
    <w:name w:val="目录"/>
    <w:basedOn w:val="1"/>
    <w:qFormat/>
    <w:uiPriority w:val="0"/>
    <w:pPr>
      <w:widowControl/>
      <w:jc w:val="center"/>
    </w:pPr>
    <w:rPr>
      <w:rFonts w:ascii="宋体" w:hAnsi="Calibri"/>
      <w:b/>
      <w:kern w:val="0"/>
      <w:sz w:val="36"/>
      <w:szCs w:val="20"/>
    </w:rPr>
  </w:style>
  <w:style w:type="paragraph" w:customStyle="1" w:styleId="121">
    <w:name w:val="目录文字"/>
    <w:basedOn w:val="1"/>
    <w:qFormat/>
    <w:uiPriority w:val="0"/>
    <w:pPr>
      <w:widowControl/>
      <w:spacing w:line="480" w:lineRule="auto"/>
      <w:jc w:val="left"/>
    </w:pPr>
    <w:rPr>
      <w:rFonts w:ascii="宋体" w:hAnsi="宋体"/>
      <w:kern w:val="0"/>
      <w:sz w:val="24"/>
      <w:szCs w:val="20"/>
    </w:rPr>
  </w:style>
  <w:style w:type="paragraph" w:customStyle="1" w:styleId="1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24">
    <w:name w:val="段落1 Char"/>
    <w:basedOn w:val="33"/>
    <w:qFormat/>
    <w:uiPriority w:val="0"/>
    <w:pPr>
      <w:spacing w:line="360" w:lineRule="auto"/>
    </w:pPr>
    <w:rPr>
      <w:rFonts w:ascii="Times New Roman" w:hAnsi="Times New Roman" w:cs="Courier New"/>
      <w:sz w:val="24"/>
      <w:szCs w:val="21"/>
    </w:rPr>
  </w:style>
  <w:style w:type="paragraph" w:customStyle="1" w:styleId="12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26">
    <w:name w:val="简单回函地址"/>
    <w:basedOn w:val="1"/>
    <w:qFormat/>
    <w:uiPriority w:val="0"/>
    <w:rPr>
      <w:rFonts w:ascii="Calibri" w:hAnsi="Calibri"/>
    </w:rPr>
  </w:style>
  <w:style w:type="paragraph" w:customStyle="1" w:styleId="12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128">
    <w:name w:val="Char10 Char Char Char Char Char Char Char Char Char"/>
    <w:basedOn w:val="1"/>
    <w:next w:val="1"/>
    <w:qFormat/>
    <w:uiPriority w:val="0"/>
    <w:rPr>
      <w:rFonts w:ascii="Calibri" w:hAnsi="Calibri"/>
    </w:rPr>
  </w:style>
  <w:style w:type="paragraph" w:customStyle="1" w:styleId="129">
    <w:name w:val="TOC 标题1"/>
    <w:basedOn w:val="3"/>
    <w:next w:val="1"/>
    <w:qFormat/>
    <w:uiPriority w:val="39"/>
    <w:pPr>
      <w:widowControl/>
      <w:spacing w:before="480" w:after="0" w:line="276" w:lineRule="auto"/>
      <w:jc w:val="left"/>
      <w:outlineLvl w:val="9"/>
    </w:pPr>
    <w:rPr>
      <w:rFonts w:ascii="Cambria" w:hAnsi="Cambria"/>
      <w:bCs w:val="0"/>
      <w:snapToGrid w:val="0"/>
      <w:color w:val="365F91"/>
      <w:kern w:val="0"/>
      <w:sz w:val="28"/>
    </w:rPr>
  </w:style>
  <w:style w:type="paragraph" w:customStyle="1" w:styleId="130">
    <w:name w:val="Char Char Char Char Char Char1"/>
    <w:basedOn w:val="1"/>
    <w:qFormat/>
    <w:uiPriority w:val="0"/>
    <w:rPr>
      <w:rFonts w:ascii="Tahoma" w:hAnsi="Tahoma"/>
      <w:sz w:val="24"/>
      <w:szCs w:val="20"/>
    </w:rPr>
  </w:style>
  <w:style w:type="paragraph" w:customStyle="1" w:styleId="131">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32">
    <w:name w:val="Char10 Char Char Char Char Char Char Char Char Char1"/>
    <w:basedOn w:val="1"/>
    <w:next w:val="1"/>
    <w:qFormat/>
    <w:uiPriority w:val="0"/>
    <w:rPr>
      <w:rFonts w:ascii="Calibri" w:hAnsi="Calibri"/>
    </w:rPr>
  </w:style>
  <w:style w:type="paragraph" w:customStyle="1" w:styleId="133">
    <w:name w:val="MsoNormal"/>
    <w:basedOn w:val="134"/>
    <w:qFormat/>
    <w:uiPriority w:val="0"/>
    <w:rPr>
      <w:rFonts w:ascii="Calibri" w:hAnsi="Calibri" w:eastAsia="Calibri"/>
      <w:sz w:val="21"/>
    </w:rPr>
  </w:style>
  <w:style w:type="paragraph" w:customStyle="1" w:styleId="134">
    <w:name w:val="Normal_0"/>
    <w:qFormat/>
    <w:uiPriority w:val="0"/>
    <w:rPr>
      <w:rFonts w:ascii="Times New Roman" w:hAnsi="Times New Roman" w:eastAsia="宋体" w:cs="Times New Roman"/>
      <w:sz w:val="24"/>
      <w:szCs w:val="24"/>
      <w:lang w:val="en-US" w:eastAsia="zh-CN" w:bidi="ar-SA"/>
    </w:rPr>
  </w:style>
  <w:style w:type="paragraph" w:customStyle="1" w:styleId="135">
    <w:name w:val="标题 2_0"/>
    <w:basedOn w:val="136"/>
    <w:next w:val="91"/>
    <w:link w:val="294"/>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纯文本_0"/>
    <w:basedOn w:val="91"/>
    <w:link w:val="295"/>
    <w:qFormat/>
    <w:uiPriority w:val="99"/>
    <w:rPr>
      <w:rFonts w:ascii="宋体" w:hAnsi="Courier New" w:cs="Times New Roman"/>
      <w:szCs w:val="21"/>
    </w:rPr>
  </w:style>
  <w:style w:type="paragraph" w:customStyle="1" w:styleId="138">
    <w:name w:val="纯文本_1"/>
    <w:basedOn w:val="139"/>
    <w:link w:val="296"/>
    <w:qFormat/>
    <w:uiPriority w:val="0"/>
    <w:rPr>
      <w:rFonts w:ascii="宋体" w:hAnsi="Courier New"/>
      <w:szCs w:val="21"/>
    </w:rPr>
  </w:style>
  <w:style w:type="paragraph" w:customStyle="1" w:styleId="1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标题 3_0"/>
    <w:basedOn w:val="141"/>
    <w:next w:val="142"/>
    <w:link w:val="302"/>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14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缩进_0"/>
    <w:basedOn w:val="141"/>
    <w:unhideWhenUsed/>
    <w:qFormat/>
    <w:uiPriority w:val="0"/>
    <w:pPr>
      <w:ind w:firstLine="420" w:firstLineChars="200"/>
    </w:pPr>
    <w:rPr>
      <w:rFonts w:ascii="Calibri" w:hAnsi="Calibri"/>
      <w:bCs/>
      <w:szCs w:val="32"/>
    </w:rPr>
  </w:style>
  <w:style w:type="paragraph" w:customStyle="1" w:styleId="143">
    <w:name w:val="标题 1_0"/>
    <w:basedOn w:val="141"/>
    <w:next w:val="141"/>
    <w:link w:val="297"/>
    <w:qFormat/>
    <w:uiPriority w:val="0"/>
    <w:pPr>
      <w:keepNext/>
      <w:widowControl/>
      <w:numPr>
        <w:ilvl w:val="0"/>
        <w:numId w:val="1"/>
      </w:numPr>
      <w:jc w:val="center"/>
      <w:outlineLvl w:val="0"/>
    </w:pPr>
    <w:rPr>
      <w:rFonts w:ascii="黑体" w:eastAsia="黑体"/>
      <w:kern w:val="0"/>
      <w:sz w:val="52"/>
      <w:szCs w:val="20"/>
    </w:rPr>
  </w:style>
  <w:style w:type="paragraph" w:customStyle="1" w:styleId="144">
    <w:name w:val="标题 6_0"/>
    <w:basedOn w:val="141"/>
    <w:next w:val="141"/>
    <w:link w:val="298"/>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customStyle="1" w:styleId="145">
    <w:name w:val="标题 7_0"/>
    <w:basedOn w:val="141"/>
    <w:next w:val="141"/>
    <w:link w:val="299"/>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146">
    <w:name w:val="标题 8_0"/>
    <w:basedOn w:val="141"/>
    <w:next w:val="141"/>
    <w:link w:val="300"/>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customStyle="1" w:styleId="147">
    <w:name w:val="标题 9_0"/>
    <w:basedOn w:val="141"/>
    <w:next w:val="141"/>
    <w:link w:val="301"/>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rPr>
  </w:style>
  <w:style w:type="paragraph" w:customStyle="1" w:styleId="148">
    <w:name w:val="Blockquote_0"/>
    <w:basedOn w:val="141"/>
    <w:link w:val="303"/>
    <w:qFormat/>
    <w:uiPriority w:val="0"/>
    <w:pPr>
      <w:autoSpaceDE w:val="0"/>
      <w:autoSpaceDN w:val="0"/>
      <w:adjustRightInd w:val="0"/>
      <w:spacing w:before="100" w:after="100"/>
      <w:ind w:left="360" w:right="360"/>
      <w:jc w:val="left"/>
    </w:pPr>
    <w:rPr>
      <w:kern w:val="0"/>
      <w:sz w:val="24"/>
      <w:szCs w:val="20"/>
    </w:rPr>
  </w:style>
  <w:style w:type="paragraph" w:customStyle="1" w:styleId="149">
    <w:name w:val="标题 4_0"/>
    <w:basedOn w:val="141"/>
    <w:next w:val="141"/>
    <w:link w:val="30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customStyle="1" w:styleId="150">
    <w:name w:val="纯文本_2"/>
    <w:basedOn w:val="141"/>
    <w:link w:val="305"/>
    <w:qFormat/>
    <w:uiPriority w:val="0"/>
    <w:rPr>
      <w:rFonts w:ascii="宋体" w:hAnsi="Courier New"/>
      <w:szCs w:val="21"/>
    </w:rPr>
  </w:style>
  <w:style w:type="paragraph" w:customStyle="1" w:styleId="151">
    <w:name w:val="Blockquote_0_1"/>
    <w:basedOn w:val="152"/>
    <w:link w:val="306"/>
    <w:qFormat/>
    <w:uiPriority w:val="0"/>
    <w:pPr>
      <w:autoSpaceDE w:val="0"/>
      <w:autoSpaceDN w:val="0"/>
      <w:adjustRightInd w:val="0"/>
      <w:spacing w:before="100" w:after="100"/>
      <w:ind w:left="360" w:right="360"/>
      <w:jc w:val="left"/>
    </w:pPr>
    <w:rPr>
      <w:kern w:val="0"/>
      <w:sz w:val="24"/>
      <w:szCs w:val="20"/>
    </w:rPr>
  </w:style>
  <w:style w:type="paragraph" w:customStyle="1" w:styleId="15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文本_0"/>
    <w:basedOn w:val="141"/>
    <w:link w:val="307"/>
    <w:qFormat/>
    <w:uiPriority w:val="0"/>
    <w:pPr>
      <w:spacing w:after="120"/>
    </w:pPr>
  </w:style>
  <w:style w:type="paragraph" w:customStyle="1" w:styleId="154">
    <w:name w:val="普通(网站)_0"/>
    <w:basedOn w:val="141"/>
    <w:qFormat/>
    <w:uiPriority w:val="0"/>
    <w:pPr>
      <w:widowControl/>
      <w:spacing w:before="100" w:beforeAutospacing="1" w:after="100" w:afterAutospacing="1"/>
      <w:jc w:val="left"/>
    </w:pPr>
    <w:rPr>
      <w:rFonts w:ascii="宋体" w:hAnsi="宋体"/>
      <w:kern w:val="0"/>
      <w:sz w:val="24"/>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脚注文本_0"/>
    <w:basedOn w:val="156"/>
    <w:link w:val="30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1">
    <w:name w:val="Normal_1"/>
    <w:qFormat/>
    <w:uiPriority w:val="0"/>
    <w:rPr>
      <w:rFonts w:ascii="Times New Roman" w:hAnsi="Times New Roman" w:eastAsia="Times New Roman" w:cs="Times New Roman"/>
      <w:sz w:val="24"/>
      <w:szCs w:val="24"/>
      <w:lang w:val="en-US" w:eastAsia="zh-CN" w:bidi="ar-SA"/>
    </w:rPr>
  </w:style>
  <w:style w:type="paragraph" w:customStyle="1" w:styleId="162">
    <w:name w:val="Normal_2"/>
    <w:qFormat/>
    <w:uiPriority w:val="0"/>
    <w:rPr>
      <w:rFonts w:ascii="Times New Roman" w:hAnsi="Times New Roman" w:eastAsia="Times New Roman" w:cs="Times New Roman"/>
      <w:sz w:val="24"/>
      <w:szCs w:val="24"/>
      <w:lang w:val="en-US" w:eastAsia="zh-CN" w:bidi="ar-SA"/>
    </w:rPr>
  </w:style>
  <w:style w:type="paragraph" w:customStyle="1" w:styleId="163">
    <w:name w:val="Normal_3"/>
    <w:qFormat/>
    <w:uiPriority w:val="0"/>
    <w:rPr>
      <w:rFonts w:ascii="Times New Roman" w:hAnsi="Times New Roman" w:eastAsia="Times New Roman" w:cs="Times New Roman"/>
      <w:sz w:val="24"/>
      <w:szCs w:val="24"/>
      <w:lang w:val="en-US" w:eastAsia="zh-CN" w:bidi="ar-SA"/>
    </w:rPr>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6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1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7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17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7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4">
    <w:name w:val="Char Char Char Char Char"/>
    <w:basedOn w:val="1"/>
    <w:qFormat/>
    <w:uiPriority w:val="0"/>
    <w:rPr>
      <w:rFonts w:ascii="Tahoma" w:hAnsi="Tahoma"/>
      <w:sz w:val="24"/>
      <w:szCs w:val="20"/>
    </w:rPr>
  </w:style>
  <w:style w:type="paragraph" w:customStyle="1" w:styleId="185">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186">
    <w:name w:val="标题4"/>
    <w:basedOn w:val="4"/>
    <w:next w:val="30"/>
    <w:link w:val="311"/>
    <w:qFormat/>
    <w:uiPriority w:val="0"/>
    <w:pPr>
      <w:spacing w:before="0" w:after="0" w:line="413" w:lineRule="auto"/>
      <w:ind w:firstLine="0"/>
      <w:jc w:val="both"/>
    </w:pPr>
    <w:rPr>
      <w:rFonts w:eastAsia="宋体"/>
      <w:kern w:val="0"/>
      <w:sz w:val="24"/>
    </w:rPr>
  </w:style>
  <w:style w:type="paragraph" w:customStyle="1" w:styleId="187">
    <w:name w:val="明显引用1"/>
    <w:basedOn w:val="1"/>
    <w:next w:val="1"/>
    <w:link w:val="312"/>
    <w:qFormat/>
    <w:uiPriority w:val="30"/>
    <w:pPr>
      <w:pBdr>
        <w:bottom w:val="single" w:color="4F81BD" w:sz="4" w:space="4"/>
      </w:pBdr>
      <w:spacing w:before="200" w:after="280"/>
      <w:ind w:left="936" w:right="936"/>
    </w:pPr>
    <w:rPr>
      <w:b/>
      <w:bCs/>
      <w:i/>
      <w:iCs/>
      <w:color w:val="4F81BD"/>
    </w:rPr>
  </w:style>
  <w:style w:type="paragraph" w:customStyle="1" w:styleId="188">
    <w:name w:val="标题5"/>
    <w:basedOn w:val="5"/>
    <w:link w:val="314"/>
    <w:qFormat/>
    <w:uiPriority w:val="0"/>
    <w:pPr>
      <w:spacing w:line="413" w:lineRule="auto"/>
      <w:jc w:val="both"/>
    </w:pPr>
    <w:rPr>
      <w:rFonts w:ascii="Arial" w:hAnsi="Arial"/>
      <w:kern w:val="0"/>
      <w:sz w:val="24"/>
    </w:rPr>
  </w:style>
  <w:style w:type="paragraph" w:customStyle="1" w:styleId="189">
    <w:name w:val="引用1"/>
    <w:basedOn w:val="1"/>
    <w:next w:val="1"/>
    <w:link w:val="315"/>
    <w:qFormat/>
    <w:uiPriority w:val="29"/>
    <w:rPr>
      <w:i/>
      <w:iCs/>
      <w:color w:val="000000"/>
    </w:rPr>
  </w:style>
  <w:style w:type="paragraph" w:customStyle="1" w:styleId="190">
    <w:name w:val="_Style 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192">
    <w:name w:val="Char Char Char Char Char1"/>
    <w:basedOn w:val="1"/>
    <w:qFormat/>
    <w:uiPriority w:val="0"/>
    <w:rPr>
      <w:rFonts w:ascii="Tahoma" w:hAnsi="Tahoma"/>
      <w:sz w:val="24"/>
      <w:szCs w:val="20"/>
    </w:rPr>
  </w:style>
  <w:style w:type="paragraph" w:customStyle="1" w:styleId="193">
    <w:name w:val="默认段落字体 Para Char"/>
    <w:basedOn w:val="1"/>
    <w:qFormat/>
    <w:uiPriority w:val="0"/>
    <w:rPr>
      <w:szCs w:val="20"/>
    </w:rPr>
  </w:style>
  <w:style w:type="paragraph" w:customStyle="1" w:styleId="194">
    <w:name w:val="正文首行缩进 4 字符"/>
    <w:basedOn w:val="65"/>
    <w:qFormat/>
    <w:uiPriority w:val="0"/>
    <w:pPr>
      <w:snapToGrid w:val="0"/>
      <w:spacing w:before="100" w:beforeLines="25"/>
      <w:ind w:left="100" w:leftChars="100" w:right="-10" w:firstLine="480" w:firstLineChars="200"/>
    </w:pPr>
    <w:rPr>
      <w:rFonts w:ascii="宋体" w:hAnsi="Italic" w:eastAsia="宋体"/>
      <w:sz w:val="21"/>
      <w:szCs w:val="21"/>
    </w:rPr>
  </w:style>
  <w:style w:type="paragraph" w:customStyle="1" w:styleId="195">
    <w:name w:val="Char2"/>
    <w:basedOn w:val="1"/>
    <w:qFormat/>
    <w:uiPriority w:val="0"/>
    <w:rPr>
      <w:rFonts w:ascii="Calibri" w:hAnsi="Calibri"/>
    </w:rPr>
  </w:style>
  <w:style w:type="paragraph" w:customStyle="1" w:styleId="196">
    <w:name w:val="Char Char Char Char Char Char2"/>
    <w:basedOn w:val="1"/>
    <w:qFormat/>
    <w:uiPriority w:val="0"/>
    <w:rPr>
      <w:rFonts w:ascii="Tahoma" w:hAnsi="Tahoma"/>
      <w:sz w:val="24"/>
      <w:szCs w:val="20"/>
    </w:rPr>
  </w:style>
  <w:style w:type="paragraph" w:customStyle="1" w:styleId="197">
    <w:name w:val="正文2"/>
    <w:link w:val="405"/>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修订1"/>
    <w:qFormat/>
    <w:uiPriority w:val="0"/>
    <w:rPr>
      <w:rFonts w:ascii="Calibri" w:hAnsi="Calibri" w:eastAsia="宋体" w:cs="Times New Roman"/>
      <w:kern w:val="2"/>
      <w:sz w:val="21"/>
      <w:szCs w:val="22"/>
      <w:lang w:val="en-US" w:eastAsia="zh-CN" w:bidi="ar-SA"/>
    </w:rPr>
  </w:style>
  <w:style w:type="paragraph" w:customStyle="1" w:styleId="199">
    <w:name w:val="Char10 Char Char Char Char Char Char Char Char Char2"/>
    <w:basedOn w:val="1"/>
    <w:next w:val="1"/>
    <w:qFormat/>
    <w:uiPriority w:val="0"/>
    <w:rPr>
      <w:rFonts w:ascii="Calibri" w:hAnsi="Calibri"/>
    </w:rPr>
  </w:style>
  <w:style w:type="paragraph" w:customStyle="1" w:styleId="200">
    <w:name w:val="Table Paragraph"/>
    <w:basedOn w:val="1"/>
    <w:qFormat/>
    <w:uiPriority w:val="1"/>
    <w:rPr>
      <w:rFonts w:ascii="宋体" w:hAnsi="宋体" w:cs="宋体"/>
      <w:lang w:val="zh-CN" w:bidi="zh-CN"/>
    </w:rPr>
  </w:style>
  <w:style w:type="paragraph" w:customStyle="1" w:styleId="201">
    <w:name w:val="标题 11"/>
    <w:basedOn w:val="1"/>
    <w:qFormat/>
    <w:uiPriority w:val="1"/>
    <w:pPr>
      <w:ind w:left="152"/>
      <w:outlineLvl w:val="1"/>
    </w:pPr>
    <w:rPr>
      <w:rFonts w:ascii="宋体" w:hAnsi="宋体"/>
      <w:b/>
      <w:bCs/>
      <w:szCs w:val="21"/>
    </w:rPr>
  </w:style>
  <w:style w:type="paragraph" w:customStyle="1" w:styleId="202">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203">
    <w:name w:val="修订2"/>
    <w:qFormat/>
    <w:uiPriority w:val="0"/>
    <w:rPr>
      <w:rFonts w:ascii="Calibri" w:hAnsi="Calibri" w:eastAsia="宋体" w:cs="Times New Roman"/>
      <w:kern w:val="2"/>
      <w:sz w:val="21"/>
      <w:szCs w:val="22"/>
      <w:lang w:val="en-US" w:eastAsia="zh-CN" w:bidi="ar-SA"/>
    </w:rPr>
  </w:style>
  <w:style w:type="paragraph" w:customStyle="1" w:styleId="204">
    <w:name w:val="明显引用11"/>
    <w:basedOn w:val="1"/>
    <w:next w:val="1"/>
    <w:link w:val="351"/>
    <w:qFormat/>
    <w:uiPriority w:val="0"/>
    <w:pPr>
      <w:pBdr>
        <w:bottom w:val="single" w:color="4F81BD" w:sz="4" w:space="4"/>
      </w:pBdr>
      <w:spacing w:before="200" w:after="280"/>
      <w:ind w:left="936" w:right="936"/>
    </w:pPr>
    <w:rPr>
      <w:rFonts w:ascii="Calibri" w:hAnsi="Calibri" w:cs="黑体"/>
      <w:b/>
      <w:i/>
      <w:color w:val="4F81BD"/>
      <w:kern w:val="0"/>
      <w:sz w:val="22"/>
      <w:szCs w:val="20"/>
    </w:rPr>
  </w:style>
  <w:style w:type="paragraph" w:customStyle="1" w:styleId="205">
    <w:name w:val="引用11"/>
    <w:basedOn w:val="1"/>
    <w:next w:val="1"/>
    <w:link w:val="359"/>
    <w:qFormat/>
    <w:uiPriority w:val="0"/>
    <w:rPr>
      <w:rFonts w:ascii="Calibri" w:hAnsi="Calibri" w:cs="黑体"/>
      <w:i/>
      <w:color w:val="000000"/>
      <w:kern w:val="0"/>
      <w:sz w:val="22"/>
      <w:szCs w:val="20"/>
    </w:rPr>
  </w:style>
  <w:style w:type="paragraph" w:customStyle="1" w:styleId="20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列出段落1"/>
    <w:basedOn w:val="1"/>
    <w:qFormat/>
    <w:uiPriority w:val="0"/>
    <w:pPr>
      <w:ind w:firstLine="420" w:firstLineChars="200"/>
    </w:pPr>
    <w:rPr>
      <w:rFonts w:ascii="Calibri" w:hAnsi="Calibri"/>
    </w:rPr>
  </w:style>
  <w:style w:type="paragraph" w:customStyle="1" w:styleId="20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0">
    <w:name w:val="正文文本 2_0"/>
    <w:basedOn w:val="139"/>
    <w:link w:val="363"/>
    <w:qFormat/>
    <w:uiPriority w:val="0"/>
    <w:pPr>
      <w:spacing w:before="312" w:line="360" w:lineRule="auto"/>
      <w:ind w:left="-100"/>
    </w:pPr>
    <w:rPr>
      <w:rFonts w:ascii="Arial" w:hAnsi="Arial" w:eastAsia="黑体" w:cs="黑体"/>
      <w:b/>
      <w:bCs/>
      <w:kern w:val="0"/>
      <w:sz w:val="32"/>
      <w:szCs w:val="32"/>
    </w:rPr>
  </w:style>
  <w:style w:type="paragraph" w:customStyle="1" w:styleId="211">
    <w:name w:val="样式4"/>
    <w:basedOn w:val="5"/>
    <w:qFormat/>
    <w:uiPriority w:val="0"/>
    <w:pPr>
      <w:widowControl/>
      <w:spacing w:line="415" w:lineRule="auto"/>
      <w:jc w:val="left"/>
    </w:pPr>
    <w:rPr>
      <w:rFonts w:ascii="Times New Roman" w:eastAsia="Arial"/>
    </w:rPr>
  </w:style>
  <w:style w:type="paragraph" w:customStyle="1" w:styleId="212">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13">
    <w:name w:val="1"/>
    <w:basedOn w:val="1"/>
    <w:next w:val="1"/>
    <w:qFormat/>
    <w:uiPriority w:val="0"/>
    <w:pPr>
      <w:widowControl/>
      <w:spacing w:line="240" w:lineRule="exact"/>
      <w:jc w:val="left"/>
    </w:pPr>
    <w:rPr>
      <w:szCs w:val="24"/>
    </w:rPr>
  </w:style>
  <w:style w:type="paragraph" w:customStyle="1" w:styleId="214">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215">
    <w:name w:val="样式2"/>
    <w:basedOn w:val="5"/>
    <w:qFormat/>
    <w:uiPriority w:val="0"/>
    <w:pPr>
      <w:widowControl/>
      <w:spacing w:line="415" w:lineRule="auto"/>
      <w:jc w:val="left"/>
    </w:pPr>
    <w:rPr>
      <w:rFonts w:ascii="Times New Roman"/>
    </w:rPr>
  </w:style>
  <w:style w:type="paragraph" w:customStyle="1" w:styleId="216">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217">
    <w:name w:val="表格文字"/>
    <w:basedOn w:val="1"/>
    <w:qFormat/>
    <w:uiPriority w:val="0"/>
    <w:pPr>
      <w:widowControl/>
      <w:adjustRightInd w:val="0"/>
      <w:spacing w:line="420" w:lineRule="atLeast"/>
      <w:jc w:val="left"/>
      <w:textAlignment w:val="baseline"/>
    </w:pPr>
    <w:rPr>
      <w:kern w:val="0"/>
      <w:szCs w:val="20"/>
    </w:rPr>
  </w:style>
  <w:style w:type="paragraph" w:customStyle="1" w:styleId="218">
    <w:name w:val="无间隔2"/>
    <w:link w:val="364"/>
    <w:qFormat/>
    <w:uiPriority w:val="0"/>
    <w:pPr>
      <w:spacing w:before="312" w:line="240" w:lineRule="exact"/>
      <w:ind w:left="-100"/>
    </w:pPr>
    <w:rPr>
      <w:rFonts w:ascii="Calibri" w:hAnsi="Calibri" w:eastAsia="宋体" w:cs="Times New Roman"/>
      <w:sz w:val="22"/>
      <w:szCs w:val="22"/>
      <w:lang w:val="en-US" w:eastAsia="zh-CN" w:bidi="ar-SA"/>
    </w:rPr>
  </w:style>
  <w:style w:type="paragraph" w:customStyle="1" w:styleId="219">
    <w:name w:val="日期_0"/>
    <w:basedOn w:val="91"/>
    <w:next w:val="91"/>
    <w:link w:val="371"/>
    <w:qFormat/>
    <w:uiPriority w:val="0"/>
    <w:pPr>
      <w:spacing w:before="312" w:line="240" w:lineRule="exact"/>
      <w:ind w:left="-100"/>
    </w:pPr>
    <w:rPr>
      <w:rFonts w:ascii="Calibri" w:hAnsi="Calibri" w:cs="黑体"/>
      <w:kern w:val="0"/>
      <w:sz w:val="24"/>
      <w:szCs w:val="20"/>
    </w:rPr>
  </w:style>
  <w:style w:type="paragraph" w:customStyle="1" w:styleId="220">
    <w:name w:val="标题 2_1"/>
    <w:basedOn w:val="139"/>
    <w:next w:val="139"/>
    <w:link w:val="382"/>
    <w:qFormat/>
    <w:uiPriority w:val="0"/>
    <w:pPr>
      <w:keepNext/>
      <w:keepLines/>
      <w:spacing w:before="260" w:after="260" w:line="412" w:lineRule="auto"/>
      <w:ind w:left="-100"/>
      <w:outlineLvl w:val="1"/>
    </w:pPr>
    <w:rPr>
      <w:rFonts w:ascii="Arial" w:hAnsi="Arial" w:eastAsia="黑体" w:cs="黑体"/>
      <w:b/>
      <w:bCs/>
      <w:kern w:val="0"/>
      <w:sz w:val="32"/>
      <w:szCs w:val="32"/>
    </w:rPr>
  </w:style>
  <w:style w:type="paragraph" w:customStyle="1" w:styleId="221">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2">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223">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224">
    <w:name w:val="pbj1"/>
    <w:basedOn w:val="1"/>
    <w:qFormat/>
    <w:uiPriority w:val="0"/>
    <w:pPr>
      <w:widowControl/>
      <w:spacing w:line="240" w:lineRule="exact"/>
      <w:jc w:val="left"/>
    </w:pPr>
    <w:rPr>
      <w:rFonts w:ascii="宋体" w:hAnsi="宋体" w:cs="宋体"/>
      <w:kern w:val="0"/>
      <w:sz w:val="24"/>
      <w:szCs w:val="20"/>
    </w:rPr>
  </w:style>
  <w:style w:type="paragraph" w:customStyle="1" w:styleId="225">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6">
    <w:name w:val="正文缩进_1"/>
    <w:basedOn w:val="139"/>
    <w:qFormat/>
    <w:uiPriority w:val="0"/>
    <w:pPr>
      <w:spacing w:before="312" w:line="240" w:lineRule="exact"/>
      <w:ind w:left="-100" w:firstLine="420" w:firstLineChars="200"/>
    </w:pPr>
    <w:rPr>
      <w:rFonts w:ascii="Calibri" w:hAnsi="Calibri"/>
      <w:bCs/>
      <w:kern w:val="0"/>
      <w:sz w:val="20"/>
      <w:szCs w:val="32"/>
    </w:rPr>
  </w:style>
  <w:style w:type="paragraph" w:customStyle="1" w:styleId="227">
    <w:name w:val="普通 (Web)_0"/>
    <w:basedOn w:val="91"/>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28">
    <w:name w:val="表格1"/>
    <w:basedOn w:val="29"/>
    <w:qFormat/>
    <w:uiPriority w:val="0"/>
    <w:pPr>
      <w:widowControl/>
      <w:spacing w:after="0"/>
      <w:jc w:val="left"/>
    </w:pPr>
    <w:rPr>
      <w:kern w:val="0"/>
      <w:sz w:val="24"/>
      <w:szCs w:val="20"/>
    </w:rPr>
  </w:style>
  <w:style w:type="paragraph" w:customStyle="1" w:styleId="229">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0">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1">
    <w:name w:val="正文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2">
    <w:name w:val="Char3"/>
    <w:basedOn w:val="1"/>
    <w:qFormat/>
    <w:uiPriority w:val="0"/>
    <w:rPr>
      <w:rFonts w:ascii="Calibri" w:hAnsi="Calibri"/>
    </w:rPr>
  </w:style>
  <w:style w:type="paragraph" w:customStyle="1" w:styleId="233">
    <w:name w:val="Char Char Char Char Char Char3"/>
    <w:basedOn w:val="1"/>
    <w:qFormat/>
    <w:uiPriority w:val="0"/>
    <w:rPr>
      <w:rFonts w:ascii="Tahoma" w:hAnsi="Tahoma"/>
      <w:sz w:val="24"/>
      <w:szCs w:val="20"/>
    </w:rPr>
  </w:style>
  <w:style w:type="paragraph" w:customStyle="1" w:styleId="234">
    <w:name w:val="Char Char Char Char3"/>
    <w:basedOn w:val="1"/>
    <w:qFormat/>
    <w:uiPriority w:val="0"/>
    <w:pPr>
      <w:snapToGrid w:val="0"/>
      <w:spacing w:line="360" w:lineRule="auto"/>
      <w:ind w:firstLine="200" w:firstLineChars="200"/>
    </w:pPr>
    <w:rPr>
      <w:rFonts w:ascii="Calibri" w:hAnsi="Calibri" w:eastAsia="仿宋_GB2312"/>
      <w:sz w:val="24"/>
    </w:rPr>
  </w:style>
  <w:style w:type="paragraph" w:customStyle="1" w:styleId="235">
    <w:name w:val="Char10 Char Char Char Char Char Char Char Char Char3"/>
    <w:basedOn w:val="1"/>
    <w:next w:val="1"/>
    <w:qFormat/>
    <w:uiPriority w:val="0"/>
    <w:rPr>
      <w:rFonts w:ascii="Calibri" w:hAnsi="Calibri"/>
    </w:rPr>
  </w:style>
  <w:style w:type="paragraph" w:customStyle="1" w:styleId="236">
    <w:name w:val="Char Char Char Char Char2"/>
    <w:basedOn w:val="1"/>
    <w:qFormat/>
    <w:uiPriority w:val="0"/>
    <w:rPr>
      <w:rFonts w:ascii="Tahoma" w:hAnsi="Tahoma"/>
      <w:sz w:val="24"/>
      <w:szCs w:val="20"/>
    </w:rPr>
  </w:style>
  <w:style w:type="paragraph" w:customStyle="1" w:styleId="237">
    <w:name w:val="_Style 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文本 (2)1"/>
    <w:basedOn w:val="1"/>
    <w:link w:val="406"/>
    <w:qFormat/>
    <w:uiPriority w:val="99"/>
    <w:pPr>
      <w:shd w:val="clear" w:color="auto" w:fill="FFFFFF"/>
      <w:spacing w:before="300" w:line="439" w:lineRule="exact"/>
      <w:jc w:val="distribute"/>
    </w:pPr>
    <w:rPr>
      <w:rFonts w:ascii="MingLiU" w:hAnsi="Calibri" w:eastAsia="MingLiU" w:cs="MingLiU"/>
      <w:spacing w:val="20"/>
      <w:kern w:val="0"/>
      <w:sz w:val="22"/>
      <w:szCs w:val="20"/>
    </w:rPr>
  </w:style>
  <w:style w:type="paragraph" w:customStyle="1" w:styleId="239">
    <w:name w:val="WPSOffice手动目录 2"/>
    <w:qFormat/>
    <w:uiPriority w:val="0"/>
    <w:pPr>
      <w:ind w:left="200" w:leftChars="200"/>
    </w:pPr>
    <w:rPr>
      <w:rFonts w:ascii="Calibri" w:hAnsi="Calibri" w:eastAsia="宋体" w:cs="Times New Roman"/>
      <w:lang w:val="en-US" w:eastAsia="zh-CN" w:bidi="ar-SA"/>
    </w:rPr>
  </w:style>
  <w:style w:type="paragraph" w:customStyle="1" w:styleId="240">
    <w:name w:val="_Style 34"/>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1">
    <w:name w:val="WPSOffice手动目录 3"/>
    <w:qFormat/>
    <w:uiPriority w:val="0"/>
    <w:pPr>
      <w:ind w:left="400" w:leftChars="400"/>
    </w:pPr>
    <w:rPr>
      <w:rFonts w:ascii="Calibri" w:hAnsi="Calibri" w:eastAsia="宋体" w:cs="Times New Roman"/>
      <w:lang w:val="en-US" w:eastAsia="zh-CN" w:bidi="ar-SA"/>
    </w:rPr>
  </w:style>
  <w:style w:type="paragraph" w:customStyle="1" w:styleId="242">
    <w:name w:val="WPSOffice手动目录 1"/>
    <w:qFormat/>
    <w:uiPriority w:val="0"/>
    <w:rPr>
      <w:rFonts w:ascii="Calibri" w:hAnsi="Calibri" w:eastAsia="宋体" w:cs="Times New Roman"/>
      <w:lang w:val="en-US" w:eastAsia="zh-CN" w:bidi="ar-SA"/>
    </w:rPr>
  </w:style>
  <w:style w:type="paragraph" w:customStyle="1" w:styleId="243">
    <w:name w:val="_Style 221"/>
    <w:basedOn w:val="1"/>
    <w:next w:val="96"/>
    <w:qFormat/>
    <w:uiPriority w:val="34"/>
    <w:pPr>
      <w:ind w:firstLine="420" w:firstLineChars="200"/>
    </w:pPr>
    <w:rPr>
      <w:rFonts w:ascii="Calibri" w:hAnsi="Calibri"/>
    </w:rPr>
  </w:style>
  <w:style w:type="paragraph" w:customStyle="1" w:styleId="244">
    <w:name w:val="修订3"/>
    <w:qFormat/>
    <w:uiPriority w:val="99"/>
    <w:rPr>
      <w:rFonts w:ascii="Times New Roman" w:hAnsi="Times New Roman" w:eastAsia="宋体" w:cs="Times New Roman"/>
      <w:kern w:val="2"/>
      <w:sz w:val="21"/>
      <w:lang w:val="en-US" w:eastAsia="zh-CN" w:bidi="ar-SA"/>
    </w:rPr>
  </w:style>
  <w:style w:type="paragraph" w:customStyle="1" w:styleId="245">
    <w:name w:val="我的正文"/>
    <w:basedOn w:val="1"/>
    <w:qFormat/>
    <w:uiPriority w:val="0"/>
    <w:rPr>
      <w:rFonts w:ascii="宋体" w:hAnsi="宋体"/>
      <w:sz w:val="24"/>
      <w:szCs w:val="24"/>
    </w:rPr>
  </w:style>
  <w:style w:type="paragraph" w:customStyle="1" w:styleId="246">
    <w:name w:val="_Style 23"/>
    <w:basedOn w:val="1"/>
    <w:qFormat/>
    <w:uiPriority w:val="0"/>
    <w:pPr>
      <w:widowControl/>
      <w:spacing w:after="160" w:line="240" w:lineRule="exact"/>
      <w:jc w:val="left"/>
    </w:pPr>
    <w:rPr>
      <w:rFonts w:ascii="Calibri" w:hAnsi="Calibri"/>
    </w:rPr>
  </w:style>
  <w:style w:type="paragraph" w:customStyle="1" w:styleId="247">
    <w:name w:val="TOC 标题3"/>
    <w:basedOn w:val="3"/>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248">
    <w:name w:val="Blockquote_0_0"/>
    <w:basedOn w:val="155"/>
    <w:link w:val="478"/>
    <w:qFormat/>
    <w:uiPriority w:val="0"/>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249">
    <w:name w:val="CM95"/>
    <w:basedOn w:val="111"/>
    <w:next w:val="111"/>
    <w:qFormat/>
    <w:uiPriority w:val="0"/>
    <w:pPr>
      <w:spacing w:after="115"/>
    </w:pPr>
    <w:rPr>
      <w:rFonts w:ascii="宋体" w:eastAsia="宋体" w:cs="Times New Roman"/>
      <w:color w:val="auto"/>
    </w:rPr>
  </w:style>
  <w:style w:type="character" w:customStyle="1" w:styleId="250">
    <w:name w:val="标题 3 字符1"/>
    <w:link w:val="5"/>
    <w:qFormat/>
    <w:uiPriority w:val="0"/>
    <w:rPr>
      <w:rFonts w:ascii="宋体" w:hAnsi="Times New Roman"/>
      <w:b/>
      <w:bCs/>
      <w:kern w:val="2"/>
      <w:sz w:val="32"/>
      <w:szCs w:val="32"/>
    </w:rPr>
  </w:style>
  <w:style w:type="character" w:customStyle="1" w:styleId="251">
    <w:name w:val="批注框文本 字符2"/>
    <w:link w:val="39"/>
    <w:qFormat/>
    <w:uiPriority w:val="99"/>
    <w:rPr>
      <w:rFonts w:ascii="Times New Roman" w:hAnsi="Times New Roman"/>
      <w:kern w:val="2"/>
      <w:sz w:val="18"/>
      <w:szCs w:val="18"/>
    </w:rPr>
  </w:style>
  <w:style w:type="character" w:customStyle="1" w:styleId="252">
    <w:name w:val="正文文本 3 字符1"/>
    <w:link w:val="24"/>
    <w:qFormat/>
    <w:uiPriority w:val="0"/>
    <w:rPr>
      <w:rFonts w:ascii="黑体" w:hAnsi="Arial" w:eastAsia="黑体"/>
      <w:b/>
      <w:kern w:val="2"/>
      <w:sz w:val="28"/>
    </w:rPr>
  </w:style>
  <w:style w:type="character" w:customStyle="1" w:styleId="253">
    <w:name w:val="日期 字符2"/>
    <w:link w:val="36"/>
    <w:qFormat/>
    <w:uiPriority w:val="99"/>
    <w:rPr>
      <w:rFonts w:ascii="Times New Roman" w:hAnsi="Times New Roman"/>
      <w:b/>
      <w:kern w:val="2"/>
      <w:sz w:val="28"/>
    </w:rPr>
  </w:style>
  <w:style w:type="character" w:customStyle="1" w:styleId="254">
    <w:name w:val="正文首行缩进 字符"/>
    <w:link w:val="65"/>
    <w:qFormat/>
    <w:uiPriority w:val="99"/>
    <w:rPr>
      <w:rFonts w:ascii="Arial" w:hAnsi="Arial" w:eastAsia="仿宋_GB2312" w:cs="Arial"/>
      <w:kern w:val="2"/>
      <w:sz w:val="24"/>
      <w:szCs w:val="32"/>
    </w:rPr>
  </w:style>
  <w:style w:type="character" w:customStyle="1" w:styleId="255">
    <w:name w:val="页脚 字符2"/>
    <w:link w:val="40"/>
    <w:qFormat/>
    <w:uiPriority w:val="99"/>
    <w:rPr>
      <w:rFonts w:ascii="Times New Roman" w:hAnsi="Times New Roman"/>
      <w:kern w:val="2"/>
      <w:sz w:val="18"/>
    </w:rPr>
  </w:style>
  <w:style w:type="character" w:customStyle="1" w:styleId="256">
    <w:name w:val="标题 4 字符1"/>
    <w:link w:val="6"/>
    <w:qFormat/>
    <w:uiPriority w:val="0"/>
    <w:rPr>
      <w:rFonts w:ascii="Arial" w:hAnsi="Arial" w:eastAsia="黑体"/>
      <w:b/>
      <w:bCs/>
      <w:kern w:val="2"/>
      <w:sz w:val="28"/>
      <w:szCs w:val="28"/>
    </w:rPr>
  </w:style>
  <w:style w:type="character" w:customStyle="1" w:styleId="257">
    <w:name w:val="正文文本 2 字符1"/>
    <w:link w:val="57"/>
    <w:qFormat/>
    <w:uiPriority w:val="0"/>
    <w:rPr>
      <w:rFonts w:ascii="仿宋_GB2312" w:hAnsi="Times New Roman" w:eastAsia="仿宋_GB2312"/>
      <w:b/>
      <w:kern w:val="2"/>
      <w:sz w:val="24"/>
    </w:rPr>
  </w:style>
  <w:style w:type="character" w:customStyle="1" w:styleId="258">
    <w:name w:val="正文文本 字符1"/>
    <w:link w:val="25"/>
    <w:qFormat/>
    <w:uiPriority w:val="1"/>
    <w:rPr>
      <w:rFonts w:ascii="宋体" w:hAnsi="Arial"/>
      <w:kern w:val="2"/>
      <w:sz w:val="28"/>
    </w:rPr>
  </w:style>
  <w:style w:type="character" w:customStyle="1" w:styleId="259">
    <w:name w:val="标题 7 字符1"/>
    <w:link w:val="9"/>
    <w:qFormat/>
    <w:uiPriority w:val="0"/>
    <w:rPr>
      <w:rFonts w:ascii="Arial" w:hAnsi="Arial" w:eastAsia="仿宋_GB2312" w:cs="Arial"/>
      <w:b/>
      <w:bCs/>
      <w:spacing w:val="-4"/>
      <w:kern w:val="2"/>
      <w:sz w:val="24"/>
      <w:szCs w:val="24"/>
    </w:rPr>
  </w:style>
  <w:style w:type="character" w:customStyle="1" w:styleId="260">
    <w:name w:val="正文文本缩进 2 字符2"/>
    <w:link w:val="37"/>
    <w:qFormat/>
    <w:uiPriority w:val="0"/>
    <w:rPr>
      <w:rFonts w:ascii="Arial" w:hAnsi="Arial" w:eastAsia="仿宋_GB2312"/>
      <w:kern w:val="2"/>
      <w:sz w:val="32"/>
    </w:rPr>
  </w:style>
  <w:style w:type="character" w:customStyle="1" w:styleId="261">
    <w:name w:val="标题 1 字符2"/>
    <w:link w:val="3"/>
    <w:qFormat/>
    <w:uiPriority w:val="0"/>
    <w:rPr>
      <w:rFonts w:ascii="Times New Roman" w:hAnsi="Times New Roman"/>
      <w:b/>
      <w:bCs/>
      <w:kern w:val="44"/>
      <w:sz w:val="30"/>
      <w:szCs w:val="44"/>
    </w:rPr>
  </w:style>
  <w:style w:type="character" w:customStyle="1" w:styleId="262">
    <w:name w:val="批注文字 字符1"/>
    <w:link w:val="21"/>
    <w:qFormat/>
    <w:uiPriority w:val="0"/>
    <w:rPr>
      <w:rFonts w:ascii="Times New Roman" w:hAnsi="Times New Roman"/>
      <w:kern w:val="2"/>
      <w:sz w:val="21"/>
    </w:rPr>
  </w:style>
  <w:style w:type="character" w:customStyle="1" w:styleId="263">
    <w:name w:val="纯文本 字符1"/>
    <w:link w:val="33"/>
    <w:qFormat/>
    <w:locked/>
    <w:uiPriority w:val="0"/>
    <w:rPr>
      <w:rFonts w:ascii="宋体" w:hAnsi="Courier New"/>
      <w:kern w:val="2"/>
      <w:sz w:val="21"/>
    </w:rPr>
  </w:style>
  <w:style w:type="character" w:customStyle="1" w:styleId="264">
    <w:name w:val="页眉 字符2"/>
    <w:link w:val="41"/>
    <w:qFormat/>
    <w:uiPriority w:val="0"/>
    <w:rPr>
      <w:rFonts w:ascii="Times New Roman" w:hAnsi="Times New Roman"/>
      <w:kern w:val="2"/>
      <w:sz w:val="18"/>
    </w:rPr>
  </w:style>
  <w:style w:type="character" w:customStyle="1" w:styleId="265">
    <w:name w:val="标题 2 字符1"/>
    <w:link w:val="4"/>
    <w:qFormat/>
    <w:uiPriority w:val="0"/>
    <w:rPr>
      <w:rFonts w:ascii="Arial" w:hAnsi="Arial" w:eastAsia="黑体"/>
      <w:b/>
      <w:bCs/>
      <w:kern w:val="2"/>
      <w:sz w:val="32"/>
      <w:szCs w:val="32"/>
    </w:rPr>
  </w:style>
  <w:style w:type="character" w:customStyle="1" w:styleId="266">
    <w:name w:val="样式1 Char Char"/>
    <w:link w:val="85"/>
    <w:qFormat/>
    <w:locked/>
    <w:uiPriority w:val="0"/>
    <w:rPr>
      <w:rFonts w:ascii="宋体" w:hAnsi="宋体"/>
      <w:sz w:val="21"/>
    </w:rPr>
  </w:style>
  <w:style w:type="character" w:customStyle="1" w:styleId="267">
    <w:name w:val="标题 5 字符1"/>
    <w:link w:val="7"/>
    <w:qFormat/>
    <w:uiPriority w:val="1"/>
    <w:rPr>
      <w:rFonts w:ascii="宋体" w:hAnsi="Arial"/>
      <w:bCs/>
      <w:kern w:val="2"/>
      <w:sz w:val="28"/>
    </w:rPr>
  </w:style>
  <w:style w:type="character" w:customStyle="1" w:styleId="268">
    <w:name w:val="正文文本缩进 3 字符1"/>
    <w:link w:val="51"/>
    <w:qFormat/>
    <w:uiPriority w:val="0"/>
    <w:rPr>
      <w:rFonts w:ascii="仿宋_GB2312" w:hAnsi="Arial" w:eastAsia="仿宋_GB2312"/>
      <w:color w:val="000000"/>
      <w:kern w:val="2"/>
      <w:sz w:val="30"/>
    </w:rPr>
  </w:style>
  <w:style w:type="character" w:customStyle="1" w:styleId="269">
    <w:name w:val="标题 6 字符1"/>
    <w:link w:val="8"/>
    <w:qFormat/>
    <w:uiPriority w:val="0"/>
    <w:rPr>
      <w:rFonts w:ascii="宋体" w:hAnsi="宋体"/>
      <w:sz w:val="28"/>
    </w:rPr>
  </w:style>
  <w:style w:type="character" w:customStyle="1" w:styleId="270">
    <w:name w:val="纯文本 Char"/>
    <w:qFormat/>
    <w:uiPriority w:val="0"/>
    <w:rPr>
      <w:rFonts w:ascii="宋体" w:hAnsi="Courier New" w:cs="Courier New"/>
      <w:kern w:val="2"/>
      <w:sz w:val="21"/>
      <w:szCs w:val="21"/>
    </w:rPr>
  </w:style>
  <w:style w:type="character" w:customStyle="1" w:styleId="271">
    <w:name w:val="正文文本缩进 字符1"/>
    <w:link w:val="26"/>
    <w:qFormat/>
    <w:uiPriority w:val="99"/>
    <w:rPr>
      <w:rFonts w:ascii="楷体_GB2312" w:hAnsi="Times New Roman" w:eastAsia="楷体_GB2312"/>
      <w:kern w:val="2"/>
      <w:sz w:val="32"/>
    </w:rPr>
  </w:style>
  <w:style w:type="character" w:customStyle="1" w:styleId="272">
    <w:name w:val="批注主题 字符1"/>
    <w:link w:val="64"/>
    <w:qFormat/>
    <w:uiPriority w:val="99"/>
    <w:rPr>
      <w:rFonts w:ascii="Times New Roman" w:hAnsi="Times New Roman"/>
      <w:b/>
      <w:bCs/>
      <w:kern w:val="2"/>
      <w:sz w:val="21"/>
      <w:szCs w:val="22"/>
    </w:rPr>
  </w:style>
  <w:style w:type="character" w:customStyle="1" w:styleId="273">
    <w:name w:val="文档结构图 字符2"/>
    <w:link w:val="19"/>
    <w:qFormat/>
    <w:uiPriority w:val="99"/>
    <w:rPr>
      <w:rFonts w:ascii="Times New Roman" w:hAnsi="Times New Roman"/>
      <w:kern w:val="2"/>
      <w:sz w:val="21"/>
      <w:shd w:val="clear" w:color="auto" w:fill="000080"/>
    </w:rPr>
  </w:style>
  <w:style w:type="character" w:customStyle="1" w:styleId="274">
    <w:name w:val="标题 8 字符1"/>
    <w:basedOn w:val="69"/>
    <w:link w:val="10"/>
    <w:qFormat/>
    <w:uiPriority w:val="0"/>
    <w:rPr>
      <w:rFonts w:ascii="宋体" w:hAnsi="宋体" w:eastAsia="黑体"/>
      <w:kern w:val="2"/>
      <w:sz w:val="32"/>
      <w:szCs w:val="32"/>
    </w:rPr>
  </w:style>
  <w:style w:type="character" w:customStyle="1" w:styleId="275">
    <w:name w:val="标题 9 字符1"/>
    <w:basedOn w:val="69"/>
    <w:link w:val="11"/>
    <w:qFormat/>
    <w:uiPriority w:val="0"/>
    <w:rPr>
      <w:b/>
      <w:bCs/>
      <w:kern w:val="2"/>
      <w:sz w:val="30"/>
      <w:szCs w:val="18"/>
    </w:rPr>
  </w:style>
  <w:style w:type="character" w:customStyle="1" w:styleId="276">
    <w:name w:val="称呼 字符1"/>
    <w:basedOn w:val="69"/>
    <w:link w:val="23"/>
    <w:qFormat/>
    <w:uiPriority w:val="0"/>
    <w:rPr>
      <w:rFonts w:ascii="仿宋_GB2312" w:hAnsi="Calibri" w:eastAsia="仿宋_GB2312"/>
      <w:bCs/>
      <w:kern w:val="2"/>
      <w:sz w:val="28"/>
    </w:rPr>
  </w:style>
  <w:style w:type="character" w:customStyle="1" w:styleId="277">
    <w:name w:val="Blockquote Char"/>
    <w:link w:val="116"/>
    <w:qFormat/>
    <w:uiPriority w:val="0"/>
    <w:rPr>
      <w:sz w:val="24"/>
    </w:rPr>
  </w:style>
  <w:style w:type="character" w:customStyle="1" w:styleId="278">
    <w:name w:val="tdrownotice1"/>
    <w:qFormat/>
    <w:uiPriority w:val="0"/>
    <w:rPr>
      <w:sz w:val="22"/>
    </w:rPr>
  </w:style>
  <w:style w:type="character" w:customStyle="1" w:styleId="279">
    <w:name w:val="标题 字符1"/>
    <w:basedOn w:val="69"/>
    <w:link w:val="63"/>
    <w:qFormat/>
    <w:uiPriority w:val="0"/>
    <w:rPr>
      <w:rFonts w:ascii="宋体" w:hAnsi="宋体" w:eastAsia="黑体"/>
      <w:b/>
      <w:smallCaps/>
      <w:snapToGrid w:val="0"/>
      <w:kern w:val="2"/>
      <w:sz w:val="44"/>
      <w:szCs w:val="24"/>
    </w:rPr>
  </w:style>
  <w:style w:type="character" w:customStyle="1" w:styleId="280">
    <w:name w:val="脚注文本 字符1"/>
    <w:basedOn w:val="69"/>
    <w:link w:val="49"/>
    <w:qFormat/>
    <w:uiPriority w:val="99"/>
    <w:rPr>
      <w:rFonts w:ascii="Calibri" w:hAnsi="Calibri"/>
      <w:bCs/>
      <w:sz w:val="18"/>
    </w:rPr>
  </w:style>
  <w:style w:type="character" w:customStyle="1" w:styleId="281">
    <w:name w:val="t_tag"/>
    <w:basedOn w:val="69"/>
    <w:qFormat/>
    <w:uiPriority w:val="0"/>
  </w:style>
  <w:style w:type="character" w:customStyle="1" w:styleId="282">
    <w:name w:val="批注框文本 Char1"/>
    <w:basedOn w:val="69"/>
    <w:qFormat/>
    <w:uiPriority w:val="0"/>
    <w:rPr>
      <w:rFonts w:ascii="Calibri" w:hAnsi="Calibri"/>
      <w:kern w:val="2"/>
      <w:sz w:val="18"/>
      <w:szCs w:val="18"/>
    </w:rPr>
  </w:style>
  <w:style w:type="character" w:customStyle="1" w:styleId="283">
    <w:name w:val="批注文字 Char1"/>
    <w:basedOn w:val="69"/>
    <w:qFormat/>
    <w:uiPriority w:val="0"/>
    <w:rPr>
      <w:rFonts w:ascii="Calibri" w:hAnsi="Calibri"/>
      <w:kern w:val="2"/>
      <w:sz w:val="21"/>
      <w:szCs w:val="22"/>
    </w:rPr>
  </w:style>
  <w:style w:type="character" w:customStyle="1" w:styleId="284">
    <w:name w:val="批注主题 Char1"/>
    <w:basedOn w:val="283"/>
    <w:qFormat/>
    <w:uiPriority w:val="99"/>
    <w:rPr>
      <w:rFonts w:ascii="Calibri" w:hAnsi="Calibri"/>
      <w:kern w:val="2"/>
      <w:sz w:val="21"/>
      <w:szCs w:val="22"/>
    </w:rPr>
  </w:style>
  <w:style w:type="character" w:customStyle="1" w:styleId="285">
    <w:name w:val="普通文字1 Char"/>
    <w:qFormat/>
    <w:uiPriority w:val="0"/>
    <w:rPr>
      <w:rFonts w:ascii="宋体" w:hAnsi="Courier New" w:eastAsia="宋体" w:cs="Courier New"/>
      <w:szCs w:val="21"/>
    </w:rPr>
  </w:style>
  <w:style w:type="character" w:customStyle="1" w:styleId="286">
    <w:name w:val="标题 1 Char1"/>
    <w:qFormat/>
    <w:uiPriority w:val="0"/>
    <w:rPr>
      <w:rFonts w:ascii="Calibri" w:hAnsi="Calibri" w:eastAsia="宋体"/>
      <w:b/>
      <w:kern w:val="44"/>
      <w:sz w:val="44"/>
      <w:szCs w:val="44"/>
    </w:rPr>
  </w:style>
  <w:style w:type="character" w:customStyle="1" w:styleId="287">
    <w:name w:val="标题 3 Char1"/>
    <w:semiHidden/>
    <w:qFormat/>
    <w:uiPriority w:val="0"/>
    <w:rPr>
      <w:rFonts w:ascii="Calibri" w:hAnsi="Calibri" w:eastAsia="宋体"/>
      <w:b/>
      <w:kern w:val="2"/>
      <w:sz w:val="32"/>
    </w:rPr>
  </w:style>
  <w:style w:type="character" w:customStyle="1" w:styleId="288">
    <w:name w:val="标题 4 Char1"/>
    <w:semiHidden/>
    <w:qFormat/>
    <w:uiPriority w:val="0"/>
    <w:rPr>
      <w:rFonts w:ascii="Cambria" w:hAnsi="Cambria" w:eastAsia="宋体"/>
      <w:b/>
      <w:kern w:val="2"/>
      <w:sz w:val="28"/>
      <w:szCs w:val="28"/>
    </w:rPr>
  </w:style>
  <w:style w:type="character" w:customStyle="1" w:styleId="289">
    <w:name w:val="标题 5 Char1"/>
    <w:semiHidden/>
    <w:qFormat/>
    <w:uiPriority w:val="0"/>
    <w:rPr>
      <w:rFonts w:ascii="Calibri" w:hAnsi="Calibri" w:eastAsia="宋体"/>
      <w:b/>
      <w:kern w:val="2"/>
      <w:sz w:val="28"/>
      <w:szCs w:val="28"/>
    </w:rPr>
  </w:style>
  <w:style w:type="character" w:customStyle="1" w:styleId="290">
    <w:name w:val="标题 6 Char1"/>
    <w:semiHidden/>
    <w:qFormat/>
    <w:uiPriority w:val="0"/>
    <w:rPr>
      <w:rFonts w:ascii="Cambria" w:hAnsi="Cambria" w:eastAsia="宋体"/>
      <w:b/>
      <w:kern w:val="2"/>
      <w:sz w:val="24"/>
      <w:szCs w:val="24"/>
    </w:rPr>
  </w:style>
  <w:style w:type="character" w:customStyle="1" w:styleId="291">
    <w:name w:val="标题 7 Char1"/>
    <w:semiHidden/>
    <w:qFormat/>
    <w:uiPriority w:val="0"/>
    <w:rPr>
      <w:rFonts w:ascii="Calibri" w:hAnsi="Calibri" w:eastAsia="宋体"/>
      <w:b/>
      <w:kern w:val="2"/>
      <w:sz w:val="24"/>
      <w:szCs w:val="24"/>
    </w:rPr>
  </w:style>
  <w:style w:type="character" w:customStyle="1" w:styleId="292">
    <w:name w:val="标题 8 Char1"/>
    <w:semiHidden/>
    <w:qFormat/>
    <w:uiPriority w:val="0"/>
    <w:rPr>
      <w:rFonts w:ascii="Cambria" w:hAnsi="Cambria" w:eastAsia="宋体"/>
      <w:kern w:val="2"/>
      <w:sz w:val="24"/>
      <w:szCs w:val="24"/>
    </w:rPr>
  </w:style>
  <w:style w:type="character" w:customStyle="1" w:styleId="293">
    <w:name w:val="标题 9 Char1"/>
    <w:semiHidden/>
    <w:qFormat/>
    <w:uiPriority w:val="0"/>
    <w:rPr>
      <w:rFonts w:ascii="Cambria" w:hAnsi="Cambria" w:eastAsia="宋体"/>
      <w:kern w:val="2"/>
      <w:sz w:val="21"/>
      <w:szCs w:val="21"/>
    </w:rPr>
  </w:style>
  <w:style w:type="character" w:customStyle="1" w:styleId="294">
    <w:name w:val="标题 2 Char_0"/>
    <w:link w:val="135"/>
    <w:qFormat/>
    <w:uiPriority w:val="0"/>
    <w:rPr>
      <w:rFonts w:ascii="黑体" w:hAnsi="宋体" w:eastAsia="黑体"/>
      <w:b/>
      <w:smallCaps/>
      <w:snapToGrid w:val="0"/>
      <w:sz w:val="36"/>
      <w:szCs w:val="24"/>
    </w:rPr>
  </w:style>
  <w:style w:type="character" w:customStyle="1" w:styleId="295">
    <w:name w:val="Texte Char1"/>
    <w:link w:val="137"/>
    <w:qFormat/>
    <w:uiPriority w:val="99"/>
    <w:rPr>
      <w:rFonts w:ascii="宋体" w:hAnsi="Courier New"/>
      <w:kern w:val="2"/>
      <w:sz w:val="21"/>
      <w:szCs w:val="21"/>
      <w:lang w:val="en-US" w:eastAsia="zh-CN"/>
    </w:rPr>
  </w:style>
  <w:style w:type="character" w:customStyle="1" w:styleId="296">
    <w:name w:val="纯文本 Char1_0"/>
    <w:link w:val="138"/>
    <w:qFormat/>
    <w:uiPriority w:val="0"/>
    <w:rPr>
      <w:rFonts w:ascii="宋体" w:hAnsi="Courier New"/>
      <w:kern w:val="2"/>
      <w:sz w:val="21"/>
      <w:szCs w:val="21"/>
    </w:rPr>
  </w:style>
  <w:style w:type="character" w:customStyle="1" w:styleId="297">
    <w:name w:val="标题 1 Char_0"/>
    <w:link w:val="143"/>
    <w:qFormat/>
    <w:uiPriority w:val="0"/>
    <w:rPr>
      <w:rFonts w:ascii="黑体" w:hAnsi="Times New Roman" w:eastAsia="黑体" w:cs="Times New Roman"/>
      <w:sz w:val="52"/>
    </w:rPr>
  </w:style>
  <w:style w:type="character" w:customStyle="1" w:styleId="298">
    <w:name w:val="标题 6 Char_0"/>
    <w:link w:val="144"/>
    <w:qFormat/>
    <w:uiPriority w:val="0"/>
    <w:rPr>
      <w:rFonts w:ascii="Arial" w:hAnsi="Arial" w:eastAsia="黑体" w:cs="Times New Roman"/>
      <w:b/>
      <w:bCs/>
      <w:sz w:val="24"/>
      <w:szCs w:val="24"/>
    </w:rPr>
  </w:style>
  <w:style w:type="character" w:customStyle="1" w:styleId="299">
    <w:name w:val="标题 7 Char_0"/>
    <w:link w:val="145"/>
    <w:qFormat/>
    <w:uiPriority w:val="0"/>
    <w:rPr>
      <w:rFonts w:ascii="Times New Roman" w:hAnsi="Times New Roman" w:eastAsia="宋体" w:cs="Times New Roman"/>
      <w:b/>
      <w:bCs/>
      <w:sz w:val="24"/>
      <w:szCs w:val="24"/>
    </w:rPr>
  </w:style>
  <w:style w:type="character" w:customStyle="1" w:styleId="300">
    <w:name w:val="标题 8 Char_0"/>
    <w:link w:val="146"/>
    <w:qFormat/>
    <w:uiPriority w:val="0"/>
    <w:rPr>
      <w:rFonts w:ascii="Arial" w:hAnsi="Arial" w:eastAsia="黑体" w:cs="Times New Roman"/>
      <w:sz w:val="24"/>
      <w:szCs w:val="24"/>
    </w:rPr>
  </w:style>
  <w:style w:type="character" w:customStyle="1" w:styleId="301">
    <w:name w:val="标题 9 Char_0"/>
    <w:link w:val="147"/>
    <w:qFormat/>
    <w:uiPriority w:val="0"/>
    <w:rPr>
      <w:rFonts w:ascii="Arial" w:hAnsi="Arial" w:eastAsia="黑体" w:cs="Times New Roman"/>
      <w:sz w:val="21"/>
      <w:szCs w:val="21"/>
    </w:rPr>
  </w:style>
  <w:style w:type="character" w:customStyle="1" w:styleId="302">
    <w:name w:val="标题 3 Char_0"/>
    <w:link w:val="140"/>
    <w:qFormat/>
    <w:uiPriority w:val="0"/>
    <w:rPr>
      <w:rFonts w:ascii="Times New Roman" w:hAnsi="Times New Roman" w:eastAsia="宋体" w:cs="Times New Roman"/>
      <w:b/>
      <w:sz w:val="32"/>
    </w:rPr>
  </w:style>
  <w:style w:type="character" w:customStyle="1" w:styleId="303">
    <w:name w:val="Blockquote Char_0"/>
    <w:link w:val="148"/>
    <w:qFormat/>
    <w:locked/>
    <w:uiPriority w:val="0"/>
    <w:rPr>
      <w:sz w:val="24"/>
    </w:rPr>
  </w:style>
  <w:style w:type="character" w:customStyle="1" w:styleId="304">
    <w:name w:val="标题 4 Char_0"/>
    <w:link w:val="149"/>
    <w:qFormat/>
    <w:uiPriority w:val="0"/>
    <w:rPr>
      <w:rFonts w:ascii="Arial" w:hAnsi="Arial" w:eastAsia="黑体"/>
      <w:sz w:val="28"/>
    </w:rPr>
  </w:style>
  <w:style w:type="character" w:customStyle="1" w:styleId="305">
    <w:name w:val="纯文本 Char1_1"/>
    <w:link w:val="150"/>
    <w:qFormat/>
    <w:uiPriority w:val="0"/>
    <w:rPr>
      <w:rFonts w:ascii="宋体" w:hAnsi="Courier New"/>
      <w:kern w:val="2"/>
      <w:sz w:val="21"/>
      <w:szCs w:val="21"/>
    </w:rPr>
  </w:style>
  <w:style w:type="character" w:customStyle="1" w:styleId="306">
    <w:name w:val="Blockquote Char_0_1"/>
    <w:link w:val="151"/>
    <w:qFormat/>
    <w:locked/>
    <w:uiPriority w:val="0"/>
    <w:rPr>
      <w:sz w:val="24"/>
    </w:rPr>
  </w:style>
  <w:style w:type="character" w:customStyle="1" w:styleId="307">
    <w:name w:val="正文文本 Char_0"/>
    <w:link w:val="153"/>
    <w:qFormat/>
    <w:uiPriority w:val="0"/>
    <w:rPr>
      <w:kern w:val="2"/>
      <w:sz w:val="21"/>
      <w:szCs w:val="24"/>
    </w:rPr>
  </w:style>
  <w:style w:type="character" w:customStyle="1" w:styleId="308">
    <w:name w:val="脚注文本 Char_0"/>
    <w:link w:val="160"/>
    <w:qFormat/>
    <w:uiPriority w:val="0"/>
    <w:rPr>
      <w:sz w:val="18"/>
    </w:rPr>
  </w:style>
  <w:style w:type="character" w:customStyle="1" w:styleId="309">
    <w:name w:val="副标题 字符1"/>
    <w:basedOn w:val="69"/>
    <w:link w:val="47"/>
    <w:qFormat/>
    <w:uiPriority w:val="0"/>
    <w:rPr>
      <w:rFonts w:ascii="Arial" w:hAnsi="Arial"/>
      <w:b/>
      <w:bCs/>
      <w:kern w:val="28"/>
      <w:sz w:val="32"/>
      <w:szCs w:val="32"/>
    </w:rPr>
  </w:style>
  <w:style w:type="character" w:customStyle="1" w:styleId="310">
    <w:name w:val="Char Char"/>
    <w:qFormat/>
    <w:uiPriority w:val="0"/>
    <w:rPr>
      <w:rFonts w:ascii="宋体" w:hAnsi="Courier New" w:eastAsia="宋体" w:cs="Courier New"/>
      <w:kern w:val="2"/>
      <w:sz w:val="21"/>
      <w:szCs w:val="21"/>
      <w:lang w:val="en-US" w:eastAsia="zh-CN" w:bidi="ar-SA"/>
    </w:rPr>
  </w:style>
  <w:style w:type="character" w:customStyle="1" w:styleId="311">
    <w:name w:val="标题4 Char Char"/>
    <w:link w:val="186"/>
    <w:qFormat/>
    <w:uiPriority w:val="0"/>
    <w:rPr>
      <w:rFonts w:ascii="Arial" w:hAnsi="Arial"/>
      <w:b/>
      <w:bCs/>
      <w:sz w:val="24"/>
      <w:szCs w:val="32"/>
    </w:rPr>
  </w:style>
  <w:style w:type="character" w:customStyle="1" w:styleId="312">
    <w:name w:val="明显引用 字符1"/>
    <w:link w:val="187"/>
    <w:qFormat/>
    <w:uiPriority w:val="30"/>
    <w:rPr>
      <w:b/>
      <w:bCs/>
      <w:i/>
      <w:iCs/>
      <w:color w:val="4F81BD"/>
      <w:kern w:val="2"/>
      <w:sz w:val="21"/>
      <w:szCs w:val="22"/>
    </w:rPr>
  </w:style>
  <w:style w:type="character" w:customStyle="1" w:styleId="313">
    <w:name w:val="明显引用 Char1"/>
    <w:basedOn w:val="69"/>
    <w:qFormat/>
    <w:uiPriority w:val="30"/>
    <w:rPr>
      <w:b/>
      <w:bCs/>
      <w:i/>
      <w:iCs/>
      <w:color w:val="4F81BD"/>
      <w:kern w:val="2"/>
      <w:sz w:val="21"/>
      <w:szCs w:val="22"/>
    </w:rPr>
  </w:style>
  <w:style w:type="character" w:customStyle="1" w:styleId="314">
    <w:name w:val="标题5 Char Char"/>
    <w:link w:val="188"/>
    <w:qFormat/>
    <w:uiPriority w:val="0"/>
    <w:rPr>
      <w:rFonts w:ascii="Arial" w:hAnsi="Arial"/>
      <w:b/>
      <w:bCs/>
      <w:sz w:val="24"/>
      <w:szCs w:val="32"/>
    </w:rPr>
  </w:style>
  <w:style w:type="character" w:customStyle="1" w:styleId="315">
    <w:name w:val="引用 字符1"/>
    <w:link w:val="189"/>
    <w:qFormat/>
    <w:uiPriority w:val="29"/>
    <w:rPr>
      <w:i/>
      <w:iCs/>
      <w:color w:val="000000"/>
      <w:kern w:val="2"/>
      <w:sz w:val="21"/>
      <w:szCs w:val="22"/>
    </w:rPr>
  </w:style>
  <w:style w:type="character" w:customStyle="1" w:styleId="316">
    <w:name w:val="引用 Char1"/>
    <w:basedOn w:val="69"/>
    <w:qFormat/>
    <w:uiPriority w:val="29"/>
    <w:rPr>
      <w:i/>
      <w:iCs/>
      <w:color w:val="000000"/>
      <w:kern w:val="2"/>
      <w:sz w:val="21"/>
      <w:szCs w:val="22"/>
    </w:rPr>
  </w:style>
  <w:style w:type="character" w:customStyle="1" w:styleId="317">
    <w:name w:val="ask-title2"/>
    <w:qFormat/>
    <w:uiPriority w:val="0"/>
  </w:style>
  <w:style w:type="character" w:customStyle="1" w:styleId="318">
    <w:name w:val="正文文本缩进 Char1"/>
    <w:basedOn w:val="69"/>
    <w:semiHidden/>
    <w:qFormat/>
    <w:uiPriority w:val="99"/>
  </w:style>
  <w:style w:type="character" w:customStyle="1" w:styleId="319">
    <w:name w:val="正文文本 2 Char1"/>
    <w:basedOn w:val="69"/>
    <w:semiHidden/>
    <w:qFormat/>
    <w:uiPriority w:val="0"/>
  </w:style>
  <w:style w:type="character" w:customStyle="1" w:styleId="320">
    <w:name w:val="纯文本 Char2"/>
    <w:semiHidden/>
    <w:qFormat/>
    <w:uiPriority w:val="99"/>
    <w:rPr>
      <w:rFonts w:ascii="宋体" w:hAnsi="Courier New" w:eastAsia="宋体" w:cs="Courier New"/>
      <w:szCs w:val="21"/>
    </w:rPr>
  </w:style>
  <w:style w:type="character" w:customStyle="1" w:styleId="321">
    <w:name w:val="页眉 Char1"/>
    <w:semiHidden/>
    <w:qFormat/>
    <w:uiPriority w:val="99"/>
    <w:rPr>
      <w:sz w:val="18"/>
      <w:szCs w:val="18"/>
    </w:rPr>
  </w:style>
  <w:style w:type="character" w:customStyle="1" w:styleId="322">
    <w:name w:val="正文文本 3 Char1"/>
    <w:semiHidden/>
    <w:qFormat/>
    <w:uiPriority w:val="99"/>
    <w:rPr>
      <w:sz w:val="16"/>
      <w:szCs w:val="16"/>
    </w:rPr>
  </w:style>
  <w:style w:type="character" w:customStyle="1" w:styleId="323">
    <w:name w:val="正文文本缩进 3 Char1"/>
    <w:semiHidden/>
    <w:qFormat/>
    <w:uiPriority w:val="99"/>
    <w:rPr>
      <w:sz w:val="16"/>
      <w:szCs w:val="16"/>
    </w:rPr>
  </w:style>
  <w:style w:type="character" w:customStyle="1" w:styleId="324">
    <w:name w:val="Char Char1"/>
    <w:qFormat/>
    <w:uiPriority w:val="0"/>
    <w:rPr>
      <w:rFonts w:ascii="宋体" w:hAnsi="Courier New" w:eastAsia="宋体" w:cs="Courier New"/>
      <w:kern w:val="2"/>
      <w:sz w:val="21"/>
      <w:szCs w:val="21"/>
      <w:lang w:val="en-US" w:eastAsia="zh-CN" w:bidi="ar-SA"/>
    </w:rPr>
  </w:style>
  <w:style w:type="character" w:customStyle="1" w:styleId="325">
    <w:name w:val="正文文本 Char1"/>
    <w:qFormat/>
    <w:uiPriority w:val="0"/>
    <w:rPr>
      <w:rFonts w:ascii="Calibri" w:hAnsi="Calibri" w:eastAsia="宋体" w:cs="Times New Roman"/>
    </w:rPr>
  </w:style>
  <w:style w:type="character" w:customStyle="1" w:styleId="326">
    <w:name w:val="正文首行缩进 Char1"/>
    <w:qFormat/>
    <w:uiPriority w:val="99"/>
    <w:rPr>
      <w:rFonts w:ascii="Calibri" w:hAnsi="Calibri" w:eastAsia="宋体"/>
      <w:kern w:val="2"/>
      <w:sz w:val="21"/>
      <w:szCs w:val="22"/>
      <w:lang w:val="en-US" w:eastAsia="zh-CN" w:bidi="ar-SA"/>
    </w:rPr>
  </w:style>
  <w:style w:type="character" w:customStyle="1" w:styleId="327">
    <w:name w:val="日期 Char1"/>
    <w:basedOn w:val="69"/>
    <w:qFormat/>
    <w:uiPriority w:val="0"/>
  </w:style>
  <w:style w:type="character" w:customStyle="1" w:styleId="328">
    <w:name w:val="文档结构图 Char1"/>
    <w:qFormat/>
    <w:uiPriority w:val="0"/>
    <w:rPr>
      <w:rFonts w:ascii="宋体" w:eastAsia="宋体"/>
      <w:sz w:val="18"/>
      <w:szCs w:val="18"/>
    </w:rPr>
  </w:style>
  <w:style w:type="character" w:customStyle="1" w:styleId="329">
    <w:name w:val="页脚 Char1"/>
    <w:semiHidden/>
    <w:qFormat/>
    <w:uiPriority w:val="99"/>
    <w:rPr>
      <w:sz w:val="18"/>
      <w:szCs w:val="18"/>
    </w:rPr>
  </w:style>
  <w:style w:type="character" w:customStyle="1" w:styleId="330">
    <w:name w:val="正文文本缩进 2 Char1"/>
    <w:basedOn w:val="69"/>
    <w:semiHidden/>
    <w:qFormat/>
    <w:uiPriority w:val="0"/>
  </w:style>
  <w:style w:type="character" w:customStyle="1" w:styleId="331">
    <w:name w:val="批注框文本 Char2"/>
    <w:basedOn w:val="69"/>
    <w:semiHidden/>
    <w:qFormat/>
    <w:uiPriority w:val="99"/>
    <w:rPr>
      <w:rFonts w:ascii="Calibri" w:hAnsi="Calibri" w:eastAsia="宋体" w:cs="Times New Roman"/>
      <w:sz w:val="18"/>
      <w:szCs w:val="18"/>
    </w:rPr>
  </w:style>
  <w:style w:type="character" w:customStyle="1" w:styleId="332">
    <w:name w:val="正文文本缩进 3 Char2"/>
    <w:basedOn w:val="69"/>
    <w:semiHidden/>
    <w:qFormat/>
    <w:uiPriority w:val="99"/>
    <w:rPr>
      <w:rFonts w:ascii="Calibri" w:hAnsi="Calibri" w:eastAsia="宋体" w:cs="Times New Roman"/>
      <w:sz w:val="16"/>
      <w:szCs w:val="16"/>
    </w:rPr>
  </w:style>
  <w:style w:type="character" w:customStyle="1" w:styleId="333">
    <w:name w:val="文档结构图 Char2"/>
    <w:basedOn w:val="69"/>
    <w:semiHidden/>
    <w:qFormat/>
    <w:uiPriority w:val="99"/>
    <w:rPr>
      <w:rFonts w:ascii="宋体" w:hAnsi="Calibri" w:eastAsia="宋体" w:cs="Times New Roman"/>
      <w:sz w:val="18"/>
      <w:szCs w:val="18"/>
    </w:rPr>
  </w:style>
  <w:style w:type="character" w:customStyle="1" w:styleId="334">
    <w:name w:val="正文文本 3 Char2"/>
    <w:basedOn w:val="69"/>
    <w:semiHidden/>
    <w:qFormat/>
    <w:uiPriority w:val="99"/>
    <w:rPr>
      <w:rFonts w:ascii="Calibri" w:hAnsi="Calibri" w:eastAsia="宋体" w:cs="Times New Roman"/>
      <w:sz w:val="16"/>
      <w:szCs w:val="16"/>
    </w:rPr>
  </w:style>
  <w:style w:type="character" w:customStyle="1" w:styleId="335">
    <w:name w:val="页眉 Char2"/>
    <w:basedOn w:val="69"/>
    <w:semiHidden/>
    <w:qFormat/>
    <w:uiPriority w:val="99"/>
    <w:rPr>
      <w:rFonts w:ascii="Calibri" w:hAnsi="Calibri" w:eastAsia="宋体" w:cs="Times New Roman"/>
      <w:sz w:val="18"/>
      <w:szCs w:val="18"/>
    </w:rPr>
  </w:style>
  <w:style w:type="character" w:customStyle="1" w:styleId="336">
    <w:name w:val="日期 Char2"/>
    <w:basedOn w:val="69"/>
    <w:semiHidden/>
    <w:qFormat/>
    <w:uiPriority w:val="99"/>
    <w:rPr>
      <w:rFonts w:ascii="Calibri" w:hAnsi="Calibri" w:eastAsia="宋体" w:cs="Times New Roman"/>
    </w:rPr>
  </w:style>
  <w:style w:type="character" w:customStyle="1" w:styleId="337">
    <w:name w:val="称呼 Char1"/>
    <w:basedOn w:val="69"/>
    <w:semiHidden/>
    <w:qFormat/>
    <w:uiPriority w:val="0"/>
    <w:rPr>
      <w:rFonts w:ascii="Calibri" w:hAnsi="Calibri" w:eastAsia="宋体" w:cs="Times New Roman"/>
    </w:rPr>
  </w:style>
  <w:style w:type="character" w:customStyle="1" w:styleId="338">
    <w:name w:val="脚注文本 Char1"/>
    <w:basedOn w:val="69"/>
    <w:qFormat/>
    <w:uiPriority w:val="0"/>
    <w:rPr>
      <w:rFonts w:ascii="Calibri" w:hAnsi="Calibri" w:eastAsia="宋体" w:cs="Times New Roman"/>
      <w:sz w:val="18"/>
      <w:szCs w:val="18"/>
    </w:rPr>
  </w:style>
  <w:style w:type="character" w:customStyle="1" w:styleId="339">
    <w:name w:val="正文文本缩进 2 Char2"/>
    <w:basedOn w:val="69"/>
    <w:semiHidden/>
    <w:qFormat/>
    <w:uiPriority w:val="99"/>
    <w:rPr>
      <w:rFonts w:ascii="Calibri" w:hAnsi="Calibri" w:eastAsia="宋体" w:cs="Times New Roman"/>
    </w:rPr>
  </w:style>
  <w:style w:type="character" w:customStyle="1" w:styleId="340">
    <w:name w:val="页脚 Char2"/>
    <w:basedOn w:val="69"/>
    <w:semiHidden/>
    <w:qFormat/>
    <w:uiPriority w:val="99"/>
    <w:rPr>
      <w:rFonts w:ascii="Calibri" w:hAnsi="Calibri" w:eastAsia="宋体" w:cs="Times New Roman"/>
      <w:sz w:val="18"/>
      <w:szCs w:val="18"/>
    </w:rPr>
  </w:style>
  <w:style w:type="character" w:customStyle="1" w:styleId="341">
    <w:name w:val="正文文本 2 Char2"/>
    <w:basedOn w:val="69"/>
    <w:semiHidden/>
    <w:qFormat/>
    <w:uiPriority w:val="99"/>
    <w:rPr>
      <w:rFonts w:ascii="Calibri" w:hAnsi="Calibri" w:eastAsia="宋体" w:cs="Times New Roman"/>
    </w:rPr>
  </w:style>
  <w:style w:type="character" w:customStyle="1" w:styleId="342">
    <w:name w:val="副标题 Char1"/>
    <w:basedOn w:val="69"/>
    <w:qFormat/>
    <w:uiPriority w:val="11"/>
    <w:rPr>
      <w:rFonts w:ascii="Cambria" w:hAnsi="Cambria" w:eastAsia="宋体" w:cs="黑体"/>
      <w:b/>
      <w:bCs/>
      <w:kern w:val="28"/>
      <w:sz w:val="32"/>
      <w:szCs w:val="32"/>
    </w:rPr>
  </w:style>
  <w:style w:type="character" w:customStyle="1" w:styleId="343">
    <w:name w:val="标题 Char1"/>
    <w:basedOn w:val="69"/>
    <w:qFormat/>
    <w:uiPriority w:val="10"/>
    <w:rPr>
      <w:rFonts w:ascii="Cambria" w:hAnsi="Cambria" w:eastAsia="宋体" w:cs="黑体"/>
      <w:b/>
      <w:bCs/>
      <w:sz w:val="32"/>
      <w:szCs w:val="32"/>
    </w:rPr>
  </w:style>
  <w:style w:type="character" w:customStyle="1" w:styleId="344">
    <w:name w:val="正文文本缩进 Char2"/>
    <w:basedOn w:val="69"/>
    <w:semiHidden/>
    <w:qFormat/>
    <w:uiPriority w:val="99"/>
    <w:rPr>
      <w:rFonts w:ascii="Calibri" w:hAnsi="Calibri" w:eastAsia="宋体" w:cs="Times New Roman"/>
    </w:rPr>
  </w:style>
  <w:style w:type="character" w:customStyle="1" w:styleId="345">
    <w:name w:val="批注文字 Char2"/>
    <w:basedOn w:val="69"/>
    <w:qFormat/>
    <w:uiPriority w:val="0"/>
    <w:rPr>
      <w:rFonts w:ascii="Calibri" w:hAnsi="Calibri" w:eastAsia="宋体" w:cs="Times New Roman"/>
    </w:rPr>
  </w:style>
  <w:style w:type="character" w:customStyle="1" w:styleId="346">
    <w:name w:val="批注主题 Char2"/>
    <w:basedOn w:val="345"/>
    <w:semiHidden/>
    <w:qFormat/>
    <w:uiPriority w:val="99"/>
    <w:rPr>
      <w:rFonts w:ascii="Calibri" w:hAnsi="Calibri" w:eastAsia="宋体" w:cs="Times New Roman"/>
      <w:b/>
      <w:bCs/>
    </w:rPr>
  </w:style>
  <w:style w:type="character" w:customStyle="1" w:styleId="347">
    <w:name w:val="正文文本 Char2"/>
    <w:basedOn w:val="69"/>
    <w:qFormat/>
    <w:uiPriority w:val="99"/>
    <w:rPr>
      <w:rFonts w:ascii="Calibri" w:hAnsi="Calibri" w:eastAsia="宋体" w:cs="Times New Roman"/>
    </w:rPr>
  </w:style>
  <w:style w:type="character" w:customStyle="1" w:styleId="348">
    <w:name w:val="正文首行缩进 Char2"/>
    <w:basedOn w:val="347"/>
    <w:semiHidden/>
    <w:qFormat/>
    <w:uiPriority w:val="99"/>
    <w:rPr>
      <w:rFonts w:ascii="Calibri" w:hAnsi="Calibri" w:eastAsia="宋体" w:cs="Times New Roman"/>
    </w:rPr>
  </w:style>
  <w:style w:type="character" w:customStyle="1" w:styleId="349">
    <w:name w:val="明显引用 Char2"/>
    <w:basedOn w:val="69"/>
    <w:qFormat/>
    <w:uiPriority w:val="0"/>
    <w:rPr>
      <w:rFonts w:ascii="Calibri" w:hAnsi="Calibri" w:eastAsia="宋体" w:cs="Times New Roman"/>
      <w:b/>
      <w:bCs/>
      <w:i/>
      <w:iCs/>
      <w:color w:val="4F81BD"/>
    </w:rPr>
  </w:style>
  <w:style w:type="character" w:customStyle="1" w:styleId="350">
    <w:name w:val="引用 Char2"/>
    <w:basedOn w:val="69"/>
    <w:qFormat/>
    <w:uiPriority w:val="0"/>
    <w:rPr>
      <w:rFonts w:ascii="Calibri" w:hAnsi="Calibri" w:eastAsia="宋体" w:cs="Times New Roman"/>
      <w:i/>
      <w:iCs/>
      <w:color w:val="000000"/>
    </w:rPr>
  </w:style>
  <w:style w:type="character" w:customStyle="1" w:styleId="351">
    <w:name w:val="Intense Quote Char"/>
    <w:link w:val="204"/>
    <w:qFormat/>
    <w:locked/>
    <w:uiPriority w:val="0"/>
    <w:rPr>
      <w:b/>
      <w:i/>
      <w:color w:val="4F81BD"/>
      <w:sz w:val="22"/>
    </w:rPr>
  </w:style>
  <w:style w:type="character" w:customStyle="1" w:styleId="352">
    <w:name w:val="书籍标题1"/>
    <w:qFormat/>
    <w:uiPriority w:val="0"/>
    <w:rPr>
      <w:b/>
      <w:smallCaps/>
      <w:spacing w:val="5"/>
    </w:rPr>
  </w:style>
  <w:style w:type="character" w:customStyle="1" w:styleId="353">
    <w:name w:val="明显强调1"/>
    <w:qFormat/>
    <w:uiPriority w:val="0"/>
    <w:rPr>
      <w:b/>
      <w:i/>
      <w:color w:val="4F81BD"/>
    </w:rPr>
  </w:style>
  <w:style w:type="character" w:customStyle="1" w:styleId="354">
    <w:name w:val="textcontents"/>
    <w:qFormat/>
    <w:uiPriority w:val="0"/>
  </w:style>
  <w:style w:type="character" w:customStyle="1" w:styleId="355">
    <w:name w:val="不明显强调1"/>
    <w:qFormat/>
    <w:uiPriority w:val="0"/>
    <w:rPr>
      <w:i/>
      <w:color w:val="808080"/>
    </w:rPr>
  </w:style>
  <w:style w:type="character" w:customStyle="1" w:styleId="356">
    <w:name w:val="不明显参考1"/>
    <w:qFormat/>
    <w:uiPriority w:val="0"/>
    <w:rPr>
      <w:smallCaps/>
      <w:color w:val="C0504D"/>
      <w:u w:val="single"/>
    </w:rPr>
  </w:style>
  <w:style w:type="character" w:customStyle="1" w:styleId="357">
    <w:name w:val="批注文字 Char Char"/>
    <w:qFormat/>
    <w:uiPriority w:val="0"/>
    <w:rPr>
      <w:rFonts w:ascii="宋体" w:hAnsi="Times New Roman" w:eastAsia="宋体"/>
      <w:sz w:val="20"/>
    </w:rPr>
  </w:style>
  <w:style w:type="character" w:customStyle="1" w:styleId="358">
    <w:name w:val="明显参考1"/>
    <w:qFormat/>
    <w:uiPriority w:val="0"/>
    <w:rPr>
      <w:b/>
      <w:smallCaps/>
      <w:color w:val="C0504D"/>
      <w:spacing w:val="5"/>
      <w:u w:val="single"/>
    </w:rPr>
  </w:style>
  <w:style w:type="character" w:customStyle="1" w:styleId="359">
    <w:name w:val="Quote Char"/>
    <w:link w:val="205"/>
    <w:qFormat/>
    <w:locked/>
    <w:uiPriority w:val="0"/>
    <w:rPr>
      <w:i/>
      <w:color w:val="000000"/>
      <w:sz w:val="22"/>
    </w:rPr>
  </w:style>
  <w:style w:type="character" w:customStyle="1" w:styleId="360">
    <w:name w:val="Char Char8"/>
    <w:qFormat/>
    <w:uiPriority w:val="0"/>
    <w:rPr>
      <w:rFonts w:ascii="Arial" w:hAnsi="Arial" w:eastAsia="黑体"/>
      <w:b/>
      <w:bCs/>
      <w:kern w:val="2"/>
      <w:sz w:val="32"/>
      <w:szCs w:val="32"/>
      <w:lang w:val="en-US" w:eastAsia="zh-CN" w:bidi="ar-SA"/>
    </w:rPr>
  </w:style>
  <w:style w:type="character" w:customStyle="1" w:styleId="361">
    <w:name w:val="font161"/>
    <w:qFormat/>
    <w:uiPriority w:val="0"/>
    <w:rPr>
      <w:b/>
      <w:bCs/>
      <w:sz w:val="32"/>
      <w:szCs w:val="32"/>
    </w:rPr>
  </w:style>
  <w:style w:type="character" w:customStyle="1" w:styleId="362">
    <w:name w:val="Char Char2"/>
    <w:qFormat/>
    <w:uiPriority w:val="0"/>
    <w:rPr>
      <w:rFonts w:eastAsia="宋体"/>
      <w:kern w:val="2"/>
      <w:sz w:val="21"/>
      <w:szCs w:val="24"/>
      <w:lang w:val="en-US" w:eastAsia="zh-CN" w:bidi="ar-SA"/>
    </w:rPr>
  </w:style>
  <w:style w:type="character" w:customStyle="1" w:styleId="363">
    <w:name w:val="Char Char7"/>
    <w:link w:val="210"/>
    <w:qFormat/>
    <w:uiPriority w:val="0"/>
    <w:rPr>
      <w:rFonts w:ascii="Arial" w:hAnsi="Arial" w:eastAsia="黑体"/>
      <w:b/>
      <w:bCs/>
      <w:sz w:val="32"/>
      <w:szCs w:val="32"/>
    </w:rPr>
  </w:style>
  <w:style w:type="character" w:customStyle="1" w:styleId="364">
    <w:name w:val="无间隔 字符"/>
    <w:link w:val="218"/>
    <w:qFormat/>
    <w:uiPriority w:val="1"/>
    <w:rPr>
      <w:rFonts w:ascii="Calibri" w:hAnsi="Calibri" w:eastAsia="宋体" w:cs="Times New Roman"/>
      <w:sz w:val="22"/>
      <w:szCs w:val="22"/>
    </w:rPr>
  </w:style>
  <w:style w:type="character" w:customStyle="1" w:styleId="365">
    <w:name w:val="con"/>
    <w:qFormat/>
    <w:uiPriority w:val="0"/>
  </w:style>
  <w:style w:type="character" w:customStyle="1" w:styleId="366">
    <w:name w:val="正文缩进 字符"/>
    <w:link w:val="16"/>
    <w:qFormat/>
    <w:locked/>
    <w:uiPriority w:val="0"/>
    <w:rPr>
      <w:rFonts w:ascii="Calibri" w:hAnsi="Calibri" w:eastAsia="宋体" w:cs="Times New Roman"/>
      <w:kern w:val="2"/>
      <w:sz w:val="21"/>
      <w:szCs w:val="22"/>
    </w:rPr>
  </w:style>
  <w:style w:type="character" w:customStyle="1" w:styleId="367">
    <w:name w:val="Char Char35"/>
    <w:qFormat/>
    <w:uiPriority w:val="0"/>
    <w:rPr>
      <w:b/>
      <w:sz w:val="32"/>
    </w:rPr>
  </w:style>
  <w:style w:type="character" w:customStyle="1" w:styleId="368">
    <w:name w:val="Char Char22"/>
    <w:qFormat/>
    <w:uiPriority w:val="0"/>
    <w:rPr>
      <w:bCs/>
      <w:sz w:val="18"/>
    </w:rPr>
  </w:style>
  <w:style w:type="character" w:customStyle="1" w:styleId="369">
    <w:name w:val="Char Char32"/>
    <w:qFormat/>
    <w:uiPriority w:val="0"/>
    <w:rPr>
      <w:rFonts w:ascii="Arial" w:hAnsi="Arial" w:eastAsia="黑体"/>
      <w:b/>
      <w:bCs/>
      <w:sz w:val="24"/>
      <w:szCs w:val="24"/>
    </w:rPr>
  </w:style>
  <w:style w:type="character" w:customStyle="1" w:styleId="370">
    <w:name w:val="明显强调2"/>
    <w:qFormat/>
    <w:uiPriority w:val="0"/>
    <w:rPr>
      <w:b/>
      <w:bCs/>
      <w:i/>
      <w:iCs/>
      <w:color w:val="4F81BD"/>
    </w:rPr>
  </w:style>
  <w:style w:type="character" w:customStyle="1" w:styleId="371">
    <w:name w:val="日期 Char_0"/>
    <w:link w:val="219"/>
    <w:qFormat/>
    <w:uiPriority w:val="0"/>
    <w:rPr>
      <w:sz w:val="24"/>
    </w:rPr>
  </w:style>
  <w:style w:type="character" w:customStyle="1" w:styleId="372">
    <w:name w:val="Quote Char1"/>
    <w:qFormat/>
    <w:uiPriority w:val="0"/>
    <w:rPr>
      <w:i/>
      <w:iCs/>
      <w:color w:val="000000"/>
    </w:rPr>
  </w:style>
  <w:style w:type="character" w:customStyle="1" w:styleId="373">
    <w:name w:val="Char Char27"/>
    <w:qFormat/>
    <w:uiPriority w:val="0"/>
    <w:rPr>
      <w:rFonts w:ascii="宋体" w:hAnsi="MS Sans Serif"/>
      <w:color w:val="000000"/>
      <w:sz w:val="24"/>
    </w:rPr>
  </w:style>
  <w:style w:type="character" w:customStyle="1" w:styleId="374">
    <w:name w:val="Balloon Text Char"/>
    <w:semiHidden/>
    <w:qFormat/>
    <w:locked/>
    <w:uiPriority w:val="0"/>
    <w:rPr>
      <w:rFonts w:eastAsia="宋体"/>
      <w:sz w:val="18"/>
    </w:rPr>
  </w:style>
  <w:style w:type="character" w:customStyle="1" w:styleId="375">
    <w:name w:val="书籍标题2"/>
    <w:qFormat/>
    <w:uiPriority w:val="0"/>
    <w:rPr>
      <w:b/>
      <w:bCs/>
      <w:smallCaps/>
      <w:spacing w:val="5"/>
    </w:rPr>
  </w:style>
  <w:style w:type="character" w:customStyle="1" w:styleId="376">
    <w:name w:val="Char Char9"/>
    <w:qFormat/>
    <w:locked/>
    <w:uiPriority w:val="0"/>
    <w:rPr>
      <w:rFonts w:ascii="宋体" w:hAnsi="宋体" w:eastAsia="宋体"/>
      <w:kern w:val="2"/>
      <w:sz w:val="24"/>
      <w:lang w:val="en-US" w:eastAsia="zh-CN" w:bidi="ar-SA"/>
    </w:rPr>
  </w:style>
  <w:style w:type="character" w:customStyle="1" w:styleId="377">
    <w:name w:val="Char Char29"/>
    <w:qFormat/>
    <w:uiPriority w:val="0"/>
    <w:rPr>
      <w:rFonts w:ascii="Arial" w:hAnsi="Arial" w:eastAsia="黑体"/>
      <w:sz w:val="21"/>
      <w:szCs w:val="21"/>
    </w:rPr>
  </w:style>
  <w:style w:type="character" w:customStyle="1" w:styleId="378">
    <w:name w:val="不明显参考2"/>
    <w:qFormat/>
    <w:uiPriority w:val="0"/>
    <w:rPr>
      <w:smallCaps/>
      <w:color w:val="C0504D"/>
      <w:u w:val="single"/>
    </w:rPr>
  </w:style>
  <w:style w:type="character" w:customStyle="1" w:styleId="379">
    <w:name w:val="Intense Quote Char1"/>
    <w:qFormat/>
    <w:uiPriority w:val="0"/>
    <w:rPr>
      <w:b/>
      <w:bCs/>
      <w:i/>
      <w:iCs/>
      <w:color w:val="4F81BD"/>
    </w:rPr>
  </w:style>
  <w:style w:type="character" w:customStyle="1" w:styleId="380">
    <w:name w:val="release-day"/>
    <w:qFormat/>
    <w:uiPriority w:val="0"/>
    <w:rPr>
      <w:bdr w:val="single" w:color="BDEBB0" w:sz="6" w:space="0"/>
      <w:shd w:val="clear" w:color="auto" w:fill="F5FFF1"/>
    </w:rPr>
  </w:style>
  <w:style w:type="character" w:customStyle="1" w:styleId="381">
    <w:name w:val="Char Char33"/>
    <w:qFormat/>
    <w:uiPriority w:val="0"/>
    <w:rPr>
      <w:rFonts w:ascii="宋体" w:hAnsi="宋体" w:eastAsia="宋体"/>
      <w:b/>
      <w:sz w:val="24"/>
      <w:lang w:val="en-US" w:eastAsia="zh-CN" w:bidi="ar-SA"/>
    </w:rPr>
  </w:style>
  <w:style w:type="character" w:customStyle="1" w:styleId="382">
    <w:name w:val="Char Char24"/>
    <w:link w:val="220"/>
    <w:qFormat/>
    <w:uiPriority w:val="0"/>
    <w:rPr>
      <w:rFonts w:ascii="Arial" w:hAnsi="Arial" w:eastAsia="黑体"/>
      <w:b/>
      <w:bCs/>
      <w:sz w:val="32"/>
      <w:szCs w:val="32"/>
    </w:rPr>
  </w:style>
  <w:style w:type="character" w:customStyle="1" w:styleId="383">
    <w:name w:val="标题 2 Char_1"/>
    <w:qFormat/>
    <w:uiPriority w:val="0"/>
    <w:rPr>
      <w:rFonts w:ascii="Arial" w:hAnsi="Arial" w:eastAsia="黑体"/>
      <w:b/>
      <w:bCs/>
      <w:kern w:val="2"/>
      <w:sz w:val="32"/>
      <w:szCs w:val="32"/>
    </w:rPr>
  </w:style>
  <w:style w:type="character" w:customStyle="1" w:styleId="384">
    <w:name w:val="副标题 Char2"/>
    <w:qFormat/>
    <w:uiPriority w:val="0"/>
    <w:rPr>
      <w:rFonts w:ascii="Cambria" w:hAnsi="Cambria" w:cs="Times New Roman"/>
      <w:b/>
      <w:bCs/>
      <w:kern w:val="28"/>
      <w:sz w:val="32"/>
      <w:szCs w:val="32"/>
    </w:rPr>
  </w:style>
  <w:style w:type="character" w:customStyle="1" w:styleId="385">
    <w:name w:val="Char Char23"/>
    <w:qFormat/>
    <w:uiPriority w:val="0"/>
    <w:rPr>
      <w:b/>
      <w:sz w:val="32"/>
    </w:rPr>
  </w:style>
  <w:style w:type="character" w:customStyle="1" w:styleId="386">
    <w:name w:val="要点_0"/>
    <w:qFormat/>
    <w:uiPriority w:val="0"/>
    <w:rPr>
      <w:rFonts w:ascii="Calibri" w:hAnsi="Calibri"/>
      <w:b/>
      <w:bCs/>
      <w:lang w:val="en-US" w:eastAsia="zh-CN" w:bidi="ar-SA"/>
    </w:rPr>
  </w:style>
  <w:style w:type="character" w:customStyle="1" w:styleId="387">
    <w:name w:val="标题 Char2"/>
    <w:qFormat/>
    <w:uiPriority w:val="0"/>
    <w:rPr>
      <w:rFonts w:ascii="Cambria" w:hAnsi="Cambria" w:cs="Times New Roman"/>
      <w:b/>
      <w:bCs/>
      <w:kern w:val="2"/>
      <w:sz w:val="32"/>
      <w:szCs w:val="32"/>
    </w:rPr>
  </w:style>
  <w:style w:type="character" w:customStyle="1" w:styleId="388">
    <w:name w:val="Char Char30"/>
    <w:qFormat/>
    <w:uiPriority w:val="0"/>
    <w:rPr>
      <w:rFonts w:ascii="Arial" w:hAnsi="Arial" w:eastAsia="黑体"/>
      <w:sz w:val="24"/>
      <w:szCs w:val="24"/>
    </w:rPr>
  </w:style>
  <w:style w:type="character" w:customStyle="1" w:styleId="389">
    <w:name w:val="num"/>
    <w:qFormat/>
    <w:uiPriority w:val="0"/>
    <w:rPr>
      <w:b/>
      <w:color w:val="FF7800"/>
    </w:rPr>
  </w:style>
  <w:style w:type="character" w:customStyle="1" w:styleId="390">
    <w:name w:val="Char Char28"/>
    <w:qFormat/>
    <w:uiPriority w:val="0"/>
    <w:rPr>
      <w:szCs w:val="24"/>
      <w:shd w:val="clear" w:color="auto" w:fill="000080"/>
      <w:lang w:bidi="ar-SA"/>
    </w:rPr>
  </w:style>
  <w:style w:type="character" w:customStyle="1" w:styleId="391">
    <w:name w:val="明显参考2"/>
    <w:qFormat/>
    <w:uiPriority w:val="0"/>
    <w:rPr>
      <w:b/>
      <w:bCs/>
      <w:smallCaps/>
      <w:color w:val="C0504D"/>
      <w:spacing w:val="5"/>
      <w:u w:val="single"/>
    </w:rPr>
  </w:style>
  <w:style w:type="character" w:customStyle="1" w:styleId="392">
    <w:name w:val="Char Char31"/>
    <w:qFormat/>
    <w:uiPriority w:val="0"/>
    <w:rPr>
      <w:b/>
      <w:bCs/>
      <w:sz w:val="24"/>
      <w:szCs w:val="24"/>
    </w:rPr>
  </w:style>
  <w:style w:type="character" w:customStyle="1" w:styleId="393">
    <w:name w:val="Char Char34"/>
    <w:qFormat/>
    <w:uiPriority w:val="0"/>
    <w:rPr>
      <w:rFonts w:ascii="Arial" w:hAnsi="Arial" w:eastAsia="黑体"/>
      <w:sz w:val="28"/>
      <w:lang w:val="en-US" w:eastAsia="zh-CN" w:bidi="ar-SA"/>
    </w:rPr>
  </w:style>
  <w:style w:type="character" w:customStyle="1" w:styleId="394">
    <w:name w:val="legend"/>
    <w:qFormat/>
    <w:uiPriority w:val="0"/>
    <w:rPr>
      <w:rFonts w:hint="default" w:ascii="Arial" w:hAnsi="Arial" w:cs="Arial"/>
      <w:b/>
      <w:color w:val="73B304"/>
      <w:sz w:val="21"/>
      <w:szCs w:val="21"/>
      <w:shd w:val="clear" w:color="auto" w:fill="FFFFFF"/>
    </w:rPr>
  </w:style>
  <w:style w:type="character" w:customStyle="1" w:styleId="395">
    <w:name w:val="Title Char1"/>
    <w:qFormat/>
    <w:uiPriority w:val="0"/>
    <w:rPr>
      <w:rFonts w:ascii="Cambria" w:hAnsi="Cambria" w:cs="Times New Roman"/>
      <w:b/>
      <w:bCs/>
      <w:sz w:val="32"/>
      <w:szCs w:val="32"/>
    </w:rPr>
  </w:style>
  <w:style w:type="character" w:customStyle="1" w:styleId="396">
    <w:name w:val="不明显强调2"/>
    <w:qFormat/>
    <w:uiPriority w:val="0"/>
    <w:rPr>
      <w:i/>
      <w:iCs/>
      <w:color w:val="808080"/>
    </w:rPr>
  </w:style>
  <w:style w:type="character" w:customStyle="1" w:styleId="397">
    <w:name w:val="Char Char25"/>
    <w:qFormat/>
    <w:uiPriority w:val="0"/>
    <w:rPr>
      <w:rFonts w:ascii="黑体" w:eastAsia="黑体"/>
      <w:sz w:val="52"/>
    </w:rPr>
  </w:style>
  <w:style w:type="character" w:customStyle="1" w:styleId="398">
    <w:name w:val="Subtitle Char1"/>
    <w:qFormat/>
    <w:uiPriority w:val="0"/>
    <w:rPr>
      <w:rFonts w:ascii="Cambria" w:hAnsi="Cambria" w:cs="Times New Roman"/>
      <w:b/>
      <w:bCs/>
      <w:kern w:val="28"/>
      <w:sz w:val="32"/>
      <w:szCs w:val="32"/>
    </w:rPr>
  </w:style>
  <w:style w:type="character" w:customStyle="1" w:styleId="399">
    <w:name w:val="Blockquote Char Char"/>
    <w:qFormat/>
    <w:uiPriority w:val="0"/>
    <w:rPr>
      <w:sz w:val="24"/>
    </w:rPr>
  </w:style>
  <w:style w:type="character" w:customStyle="1" w:styleId="400">
    <w:name w:val="Char Char37"/>
    <w:qFormat/>
    <w:uiPriority w:val="0"/>
    <w:rPr>
      <w:rFonts w:ascii="黑体" w:eastAsia="黑体"/>
      <w:sz w:val="52"/>
    </w:rPr>
  </w:style>
  <w:style w:type="character" w:customStyle="1" w:styleId="401">
    <w:name w:val="Char Char26"/>
    <w:qFormat/>
    <w:uiPriority w:val="0"/>
    <w:rPr>
      <w:rFonts w:ascii="宋体"/>
      <w:b/>
      <w:bCs/>
      <w:sz w:val="28"/>
      <w:lang w:bidi="ar-SA"/>
    </w:rPr>
  </w:style>
  <w:style w:type="character" w:customStyle="1" w:styleId="402">
    <w:name w:val="Char Char36"/>
    <w:qFormat/>
    <w:uiPriority w:val="0"/>
    <w:rPr>
      <w:rFonts w:ascii="Arial" w:hAnsi="Arial" w:eastAsia="黑体"/>
      <w:b/>
      <w:sz w:val="36"/>
      <w:lang w:val="en-US" w:eastAsia="zh-CN" w:bidi="ar-SA"/>
    </w:rPr>
  </w:style>
  <w:style w:type="character" w:customStyle="1" w:styleId="403">
    <w:name w:val="Char Char3"/>
    <w:qFormat/>
    <w:uiPriority w:val="0"/>
    <w:rPr>
      <w:rFonts w:ascii="宋体" w:hAnsi="Courier New" w:eastAsia="宋体" w:cs="Courier New"/>
      <w:kern w:val="2"/>
      <w:sz w:val="21"/>
      <w:szCs w:val="21"/>
      <w:lang w:val="en-US" w:eastAsia="zh-CN" w:bidi="ar-SA"/>
    </w:rPr>
  </w:style>
  <w:style w:type="character" w:customStyle="1" w:styleId="40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05">
    <w:name w:val="正文2 Char"/>
    <w:link w:val="197"/>
    <w:qFormat/>
    <w:uiPriority w:val="0"/>
    <w:rPr>
      <w:rFonts w:ascii="宋体" w:hAnsi="Times New Roman" w:eastAsia="宋体" w:cs="Times New Roman"/>
      <w:sz w:val="24"/>
    </w:rPr>
  </w:style>
  <w:style w:type="character" w:customStyle="1" w:styleId="406">
    <w:name w:val="正文文本 (2)_"/>
    <w:link w:val="238"/>
    <w:qFormat/>
    <w:locked/>
    <w:uiPriority w:val="99"/>
    <w:rPr>
      <w:rFonts w:ascii="MingLiU" w:eastAsia="MingLiU" w:cs="MingLiU"/>
      <w:spacing w:val="20"/>
      <w:sz w:val="22"/>
      <w:shd w:val="clear" w:color="auto" w:fill="FFFFFF"/>
    </w:rPr>
  </w:style>
  <w:style w:type="character" w:customStyle="1" w:styleId="407">
    <w:name w:val="正文文本 (2) + 间距 0 pt5"/>
    <w:qFormat/>
    <w:uiPriority w:val="99"/>
    <w:rPr>
      <w:rFonts w:ascii="MingLiU" w:eastAsia="MingLiU" w:cs="MingLiU"/>
      <w:spacing w:val="0"/>
      <w:sz w:val="22"/>
      <w:shd w:val="clear" w:color="auto" w:fill="FFFFFF"/>
    </w:rPr>
  </w:style>
  <w:style w:type="character" w:customStyle="1" w:styleId="408">
    <w:name w:val="NormalCharacter"/>
    <w:qFormat/>
    <w:uiPriority w:val="0"/>
  </w:style>
  <w:style w:type="character" w:customStyle="1" w:styleId="409">
    <w:name w:val="标题 1 字符1"/>
    <w:qFormat/>
    <w:uiPriority w:val="0"/>
    <w:rPr>
      <w:b/>
      <w:bCs/>
      <w:kern w:val="44"/>
      <w:sz w:val="32"/>
      <w:szCs w:val="44"/>
    </w:rPr>
  </w:style>
  <w:style w:type="character" w:customStyle="1" w:styleId="410">
    <w:name w:val="正文文本缩进 字符"/>
    <w:qFormat/>
    <w:uiPriority w:val="0"/>
    <w:rPr>
      <w:rFonts w:ascii="宋体" w:hAnsi="宋体"/>
      <w:bCs/>
      <w:kern w:val="2"/>
      <w:sz w:val="28"/>
      <w:szCs w:val="32"/>
    </w:rPr>
  </w:style>
  <w:style w:type="character" w:customStyle="1" w:styleId="411">
    <w:name w:val="批注主题 字符"/>
    <w:qFormat/>
    <w:uiPriority w:val="99"/>
  </w:style>
  <w:style w:type="character" w:customStyle="1" w:styleId="412">
    <w:name w:val="正文文本 2 字符"/>
    <w:qFormat/>
    <w:uiPriority w:val="99"/>
    <w:rPr>
      <w:rFonts w:ascii="宋体"/>
      <w:spacing w:val="-20"/>
      <w:kern w:val="2"/>
      <w:sz w:val="28"/>
    </w:rPr>
  </w:style>
  <w:style w:type="character" w:customStyle="1" w:styleId="413">
    <w:name w:val="文档结构图 字符"/>
    <w:semiHidden/>
    <w:qFormat/>
    <w:uiPriority w:val="99"/>
    <w:rPr>
      <w:rFonts w:ascii="宋体" w:hAnsi="Calibri" w:eastAsia="宋体" w:cs="Calibri"/>
      <w:kern w:val="2"/>
      <w:sz w:val="18"/>
      <w:szCs w:val="18"/>
    </w:rPr>
  </w:style>
  <w:style w:type="character" w:customStyle="1" w:styleId="414">
    <w:name w:val="日期 字符"/>
    <w:semiHidden/>
    <w:qFormat/>
    <w:uiPriority w:val="99"/>
    <w:rPr>
      <w:rFonts w:ascii="Calibri" w:hAnsi="Calibri" w:eastAsia="宋体" w:cs="Calibri"/>
      <w:kern w:val="2"/>
      <w:sz w:val="21"/>
      <w:szCs w:val="21"/>
    </w:rPr>
  </w:style>
  <w:style w:type="character" w:customStyle="1" w:styleId="415">
    <w:name w:val="批注框文本 字符"/>
    <w:semiHidden/>
    <w:qFormat/>
    <w:uiPriority w:val="99"/>
    <w:rPr>
      <w:rFonts w:ascii="Calibri" w:hAnsi="Calibri" w:cs="Calibri"/>
      <w:kern w:val="2"/>
      <w:sz w:val="18"/>
      <w:szCs w:val="18"/>
    </w:rPr>
  </w:style>
  <w:style w:type="character" w:customStyle="1" w:styleId="416">
    <w:name w:val="正文文本 字符"/>
    <w:qFormat/>
    <w:uiPriority w:val="0"/>
    <w:rPr>
      <w:kern w:val="2"/>
      <w:sz w:val="21"/>
      <w:szCs w:val="24"/>
    </w:rPr>
  </w:style>
  <w:style w:type="character" w:customStyle="1" w:styleId="417">
    <w:name w:val="标题 4 字符"/>
    <w:qFormat/>
    <w:uiPriority w:val="9"/>
    <w:rPr>
      <w:rFonts w:ascii="Arial" w:hAnsi="Arial"/>
      <w:b/>
      <w:bCs/>
      <w:kern w:val="2"/>
      <w:sz w:val="21"/>
      <w:szCs w:val="28"/>
    </w:rPr>
  </w:style>
  <w:style w:type="character" w:customStyle="1" w:styleId="418">
    <w:name w:val="纯文本 字符"/>
    <w:qFormat/>
    <w:uiPriority w:val="99"/>
    <w:rPr>
      <w:rFonts w:ascii="宋体" w:hAnsi="Courier New" w:cs="Courier New"/>
      <w:kern w:val="2"/>
      <w:sz w:val="21"/>
      <w:szCs w:val="21"/>
    </w:rPr>
  </w:style>
  <w:style w:type="character" w:customStyle="1" w:styleId="419">
    <w:name w:val="正文文本缩进 2 字符1"/>
    <w:qFormat/>
    <w:uiPriority w:val="0"/>
    <w:rPr>
      <w:rFonts w:ascii="宋体" w:hAnsi="MS Sans Serif"/>
      <w:bCs/>
      <w:spacing w:val="12"/>
      <w:sz w:val="24"/>
    </w:rPr>
  </w:style>
  <w:style w:type="character" w:customStyle="1" w:styleId="420">
    <w:name w:val="标题 1 字符"/>
    <w:qFormat/>
    <w:uiPriority w:val="9"/>
    <w:rPr>
      <w:rFonts w:ascii="宋体" w:hAnsi="Calibri" w:cs="Calibri"/>
      <w:kern w:val="2"/>
      <w:sz w:val="44"/>
      <w:szCs w:val="21"/>
    </w:rPr>
  </w:style>
  <w:style w:type="character" w:customStyle="1" w:styleId="421">
    <w:name w:val="文档结构图 字符1"/>
    <w:qFormat/>
    <w:uiPriority w:val="0"/>
    <w:rPr>
      <w:bCs/>
      <w:kern w:val="2"/>
      <w:sz w:val="21"/>
      <w:szCs w:val="32"/>
      <w:shd w:val="clear" w:color="auto" w:fill="000080"/>
    </w:rPr>
  </w:style>
  <w:style w:type="character" w:customStyle="1" w:styleId="422">
    <w:name w:val="明显引用 字符"/>
    <w:qFormat/>
    <w:uiPriority w:val="0"/>
    <w:rPr>
      <w:b/>
      <w:bCs/>
      <w:i/>
      <w:iCs/>
      <w:color w:val="4F81BD"/>
      <w:kern w:val="2"/>
      <w:sz w:val="21"/>
      <w:szCs w:val="22"/>
    </w:rPr>
  </w:style>
  <w:style w:type="character" w:customStyle="1" w:styleId="423">
    <w:name w:val="标题 8 字符"/>
    <w:qFormat/>
    <w:uiPriority w:val="9"/>
    <w:rPr>
      <w:rFonts w:ascii="宋体" w:hAnsi="宋体" w:eastAsia="黑体"/>
      <w:kern w:val="2"/>
      <w:sz w:val="32"/>
      <w:szCs w:val="32"/>
    </w:rPr>
  </w:style>
  <w:style w:type="character" w:customStyle="1" w:styleId="424">
    <w:name w:val="标题 3 字符"/>
    <w:qFormat/>
    <w:uiPriority w:val="9"/>
    <w:rPr>
      <w:b/>
      <w:bCs/>
      <w:kern w:val="2"/>
      <w:sz w:val="24"/>
      <w:szCs w:val="32"/>
    </w:rPr>
  </w:style>
  <w:style w:type="character" w:customStyle="1" w:styleId="425">
    <w:name w:val="标题 字符"/>
    <w:qFormat/>
    <w:uiPriority w:val="10"/>
    <w:rPr>
      <w:rFonts w:ascii="宋体" w:hAnsi="宋体" w:eastAsia="黑体"/>
      <w:b/>
      <w:smallCaps/>
      <w:snapToGrid w:val="0"/>
      <w:kern w:val="2"/>
      <w:sz w:val="44"/>
      <w:szCs w:val="24"/>
    </w:rPr>
  </w:style>
  <w:style w:type="character" w:customStyle="1" w:styleId="426">
    <w:name w:val="正文文本 3 字符"/>
    <w:qFormat/>
    <w:uiPriority w:val="99"/>
    <w:rPr>
      <w:rFonts w:ascii="仿宋_GB2312" w:hAnsi="宋体" w:eastAsia="仿宋_GB2312"/>
      <w:bCs/>
      <w:color w:val="000000"/>
      <w:kern w:val="2"/>
      <w:sz w:val="24"/>
      <w:szCs w:val="32"/>
    </w:rPr>
  </w:style>
  <w:style w:type="character" w:customStyle="1" w:styleId="427">
    <w:name w:val="标题 2 字符"/>
    <w:qFormat/>
    <w:uiPriority w:val="9"/>
    <w:rPr>
      <w:rFonts w:ascii="Arial" w:hAnsi="Arial" w:eastAsia="黑体"/>
      <w:b/>
      <w:bCs/>
      <w:kern w:val="2"/>
      <w:sz w:val="32"/>
      <w:szCs w:val="32"/>
    </w:rPr>
  </w:style>
  <w:style w:type="character" w:customStyle="1" w:styleId="428">
    <w:name w:val="页脚 字符1"/>
    <w:qFormat/>
    <w:uiPriority w:val="99"/>
    <w:rPr>
      <w:kern w:val="2"/>
      <w:sz w:val="18"/>
      <w:szCs w:val="18"/>
    </w:rPr>
  </w:style>
  <w:style w:type="character" w:customStyle="1" w:styleId="429">
    <w:name w:val="批注框文本 字符1"/>
    <w:qFormat/>
    <w:uiPriority w:val="0"/>
    <w:rPr>
      <w:kern w:val="2"/>
      <w:sz w:val="18"/>
    </w:rPr>
  </w:style>
  <w:style w:type="character" w:customStyle="1" w:styleId="430">
    <w:name w:val="引用 字符"/>
    <w:qFormat/>
    <w:uiPriority w:val="0"/>
    <w:rPr>
      <w:i/>
      <w:iCs/>
      <w:color w:val="000000"/>
      <w:kern w:val="2"/>
      <w:sz w:val="21"/>
      <w:szCs w:val="22"/>
    </w:rPr>
  </w:style>
  <w:style w:type="character" w:customStyle="1" w:styleId="431">
    <w:name w:val="日期 字符1"/>
    <w:qFormat/>
    <w:uiPriority w:val="0"/>
    <w:rPr>
      <w:kern w:val="2"/>
      <w:sz w:val="21"/>
      <w:szCs w:val="24"/>
    </w:rPr>
  </w:style>
  <w:style w:type="character" w:customStyle="1" w:styleId="432">
    <w:name w:val="称呼 字符"/>
    <w:qFormat/>
    <w:uiPriority w:val="0"/>
    <w:rPr>
      <w:rFonts w:ascii="仿宋_GB2312" w:eastAsia="仿宋_GB2312"/>
      <w:kern w:val="2"/>
      <w:sz w:val="28"/>
    </w:rPr>
  </w:style>
  <w:style w:type="character" w:customStyle="1" w:styleId="433">
    <w:name w:val="页脚 字符"/>
    <w:qFormat/>
    <w:uiPriority w:val="99"/>
    <w:rPr>
      <w:rFonts w:ascii="Calibri" w:hAnsi="Calibri" w:eastAsia="宋体" w:cs="Times New Roman"/>
      <w:kern w:val="2"/>
      <w:sz w:val="18"/>
      <w:szCs w:val="18"/>
    </w:rPr>
  </w:style>
  <w:style w:type="character" w:customStyle="1" w:styleId="434">
    <w:name w:val="页眉 字符"/>
    <w:qFormat/>
    <w:uiPriority w:val="99"/>
    <w:rPr>
      <w:rFonts w:ascii="Calibri" w:hAnsi="Calibri" w:cs="Calibri"/>
      <w:kern w:val="2"/>
      <w:sz w:val="18"/>
      <w:szCs w:val="18"/>
    </w:rPr>
  </w:style>
  <w:style w:type="character" w:customStyle="1" w:styleId="435">
    <w:name w:val="标题 7 字符"/>
    <w:qFormat/>
    <w:uiPriority w:val="9"/>
    <w:rPr>
      <w:rFonts w:ascii="Times New Roman" w:hAnsi="Times New Roman"/>
      <w:b/>
      <w:bCs/>
      <w:kern w:val="2"/>
      <w:sz w:val="30"/>
      <w:szCs w:val="18"/>
    </w:rPr>
  </w:style>
  <w:style w:type="character" w:customStyle="1" w:styleId="436">
    <w:name w:val="页眉 字符1"/>
    <w:qFormat/>
    <w:uiPriority w:val="99"/>
    <w:rPr>
      <w:spacing w:val="-20"/>
      <w:kern w:val="2"/>
      <w:sz w:val="18"/>
      <w:szCs w:val="18"/>
    </w:rPr>
  </w:style>
  <w:style w:type="character" w:customStyle="1" w:styleId="437">
    <w:name w:val="标题 9 字符"/>
    <w:qFormat/>
    <w:uiPriority w:val="9"/>
    <w:rPr>
      <w:rFonts w:ascii="Cambria" w:hAnsi="Cambria"/>
      <w:kern w:val="2"/>
      <w:sz w:val="21"/>
      <w:szCs w:val="21"/>
    </w:rPr>
  </w:style>
  <w:style w:type="character" w:customStyle="1" w:styleId="438">
    <w:name w:val="正文文本缩进 3 字符"/>
    <w:qFormat/>
    <w:uiPriority w:val="99"/>
    <w:rPr>
      <w:rFonts w:ascii="宋体" w:hAnsi="MS Sans Serif"/>
      <w:bCs/>
      <w:color w:val="000000"/>
      <w:sz w:val="24"/>
    </w:rPr>
  </w:style>
  <w:style w:type="character" w:customStyle="1" w:styleId="439">
    <w:name w:val="脚注文本 字符"/>
    <w:qFormat/>
    <w:uiPriority w:val="0"/>
    <w:rPr>
      <w:bCs/>
      <w:sz w:val="18"/>
    </w:rPr>
  </w:style>
  <w:style w:type="character" w:customStyle="1" w:styleId="440">
    <w:name w:val="批注文字 字符"/>
    <w:qFormat/>
    <w:uiPriority w:val="99"/>
    <w:rPr>
      <w:sz w:val="24"/>
    </w:rPr>
  </w:style>
  <w:style w:type="character" w:customStyle="1" w:styleId="441">
    <w:name w:val="副标题 字符"/>
    <w:qFormat/>
    <w:uiPriority w:val="0"/>
    <w:rPr>
      <w:rFonts w:ascii="Arial" w:hAnsi="Arial"/>
      <w:b/>
      <w:bCs/>
      <w:kern w:val="28"/>
      <w:sz w:val="32"/>
      <w:szCs w:val="32"/>
    </w:rPr>
  </w:style>
  <w:style w:type="character" w:customStyle="1" w:styleId="442">
    <w:name w:val="正文文本缩进 2 字符"/>
    <w:qFormat/>
    <w:uiPriority w:val="99"/>
    <w:rPr>
      <w:rFonts w:ascii="宋体" w:hAnsi="宋体"/>
      <w:kern w:val="2"/>
      <w:sz w:val="24"/>
    </w:rPr>
  </w:style>
  <w:style w:type="character" w:customStyle="1" w:styleId="443">
    <w:name w:val="HTML 预设格式 字符"/>
    <w:link w:val="60"/>
    <w:qFormat/>
    <w:uiPriority w:val="99"/>
    <w:rPr>
      <w:rFonts w:ascii="宋体" w:hAnsi="宋体" w:cs="宋体"/>
      <w:sz w:val="24"/>
      <w:szCs w:val="24"/>
    </w:rPr>
  </w:style>
  <w:style w:type="character" w:customStyle="1" w:styleId="444">
    <w:name w:val="标题 6 字符"/>
    <w:qFormat/>
    <w:uiPriority w:val="9"/>
    <w:rPr>
      <w:rFonts w:ascii="Times New Roman" w:hAnsi="Times New Roman"/>
      <w:b/>
      <w:bCs/>
      <w:kern w:val="2"/>
      <w:sz w:val="30"/>
      <w:szCs w:val="18"/>
    </w:rPr>
  </w:style>
  <w:style w:type="character" w:customStyle="1" w:styleId="445">
    <w:name w:val="标题 5 字符"/>
    <w:qFormat/>
    <w:uiPriority w:val="9"/>
    <w:rPr>
      <w:b/>
      <w:bCs/>
      <w:kern w:val="2"/>
      <w:sz w:val="28"/>
      <w:szCs w:val="28"/>
    </w:rPr>
  </w:style>
  <w:style w:type="character" w:customStyle="1" w:styleId="446">
    <w:name w:val="HTML 预设格式 Char"/>
    <w:basedOn w:val="69"/>
    <w:qFormat/>
    <w:uiPriority w:val="0"/>
    <w:rPr>
      <w:rFonts w:ascii="Courier New" w:hAnsi="Courier New" w:eastAsia="宋体" w:cs="Courier New"/>
      <w:kern w:val="2"/>
    </w:rPr>
  </w:style>
  <w:style w:type="character" w:customStyle="1" w:styleId="447">
    <w:name w:val="正文首行缩进 2 字符"/>
    <w:basedOn w:val="271"/>
    <w:link w:val="66"/>
    <w:semiHidden/>
    <w:qFormat/>
    <w:uiPriority w:val="99"/>
    <w:rPr>
      <w:rFonts w:ascii="Times New Roman" w:hAnsi="Times New Roman" w:eastAsia="宋体" w:cs="Times New Roman"/>
      <w:kern w:val="2"/>
      <w:sz w:val="21"/>
      <w:szCs w:val="22"/>
    </w:rPr>
  </w:style>
  <w:style w:type="character" w:customStyle="1" w:styleId="448">
    <w:name w:val="标题 3 Char"/>
    <w:qFormat/>
    <w:uiPriority w:val="0"/>
    <w:rPr>
      <w:rFonts w:ascii="黑体" w:hAnsi="Calibri" w:eastAsia="黑体"/>
      <w:kern w:val="2"/>
      <w:sz w:val="28"/>
    </w:rPr>
  </w:style>
  <w:style w:type="character" w:customStyle="1" w:styleId="449">
    <w:name w:val="标题 1 Char"/>
    <w:qFormat/>
    <w:uiPriority w:val="0"/>
    <w:rPr>
      <w:rFonts w:eastAsia="宋体"/>
      <w:b/>
      <w:kern w:val="44"/>
      <w:sz w:val="44"/>
    </w:rPr>
  </w:style>
  <w:style w:type="character" w:customStyle="1" w:styleId="450">
    <w:name w:val="标题 8 Char"/>
    <w:qFormat/>
    <w:uiPriority w:val="0"/>
    <w:rPr>
      <w:rFonts w:ascii="Arial" w:hAnsi="Arial" w:eastAsia="黑体"/>
      <w:sz w:val="24"/>
    </w:rPr>
  </w:style>
  <w:style w:type="character" w:customStyle="1" w:styleId="451">
    <w:name w:val="页脚 Char"/>
    <w:qFormat/>
    <w:uiPriority w:val="99"/>
    <w:rPr>
      <w:rFonts w:ascii="Calibri" w:hAnsi="Calibri" w:eastAsia="宋体"/>
      <w:kern w:val="2"/>
      <w:sz w:val="18"/>
      <w:szCs w:val="22"/>
    </w:rPr>
  </w:style>
  <w:style w:type="character" w:customStyle="1" w:styleId="452">
    <w:name w:val="标题 9 Char"/>
    <w:qFormat/>
    <w:uiPriority w:val="0"/>
    <w:rPr>
      <w:rFonts w:ascii="Arial" w:hAnsi="Arial" w:eastAsia="黑体"/>
      <w:sz w:val="21"/>
      <w:szCs w:val="21"/>
    </w:rPr>
  </w:style>
  <w:style w:type="character" w:customStyle="1" w:styleId="453">
    <w:name w:val="style_kwd"/>
    <w:basedOn w:val="69"/>
    <w:qFormat/>
    <w:uiPriority w:val="0"/>
  </w:style>
  <w:style w:type="character" w:customStyle="1" w:styleId="454">
    <w:name w:val="页眉 Char"/>
    <w:qFormat/>
    <w:uiPriority w:val="0"/>
    <w:rPr>
      <w:rFonts w:eastAsia="宋体"/>
      <w:kern w:val="2"/>
      <w:sz w:val="18"/>
    </w:rPr>
  </w:style>
  <w:style w:type="character" w:customStyle="1" w:styleId="455">
    <w:name w:val="尾注文本 字符1"/>
    <w:link w:val="38"/>
    <w:qFormat/>
    <w:uiPriority w:val="0"/>
    <w:rPr>
      <w:rFonts w:ascii="Calibri" w:hAnsi="Calibri" w:eastAsia="宋体"/>
      <w:kern w:val="2"/>
      <w:sz w:val="21"/>
      <w:szCs w:val="22"/>
    </w:rPr>
  </w:style>
  <w:style w:type="character" w:customStyle="1" w:styleId="456">
    <w:name w:val="日期 Char"/>
    <w:qFormat/>
    <w:uiPriority w:val="0"/>
    <w:rPr>
      <w:rFonts w:eastAsia="宋体"/>
      <w:kern w:val="2"/>
      <w:sz w:val="21"/>
    </w:rPr>
  </w:style>
  <w:style w:type="character" w:customStyle="1" w:styleId="457">
    <w:name w:val="批注文字 Char"/>
    <w:qFormat/>
    <w:uiPriority w:val="0"/>
    <w:rPr>
      <w:sz w:val="24"/>
    </w:rPr>
  </w:style>
  <w:style w:type="character" w:customStyle="1" w:styleId="458">
    <w:name w:val="正文文本缩进 Char"/>
    <w:qFormat/>
    <w:uiPriority w:val="0"/>
    <w:rPr>
      <w:rFonts w:eastAsia="宋体"/>
      <w:kern w:val="2"/>
      <w:sz w:val="21"/>
    </w:rPr>
  </w:style>
  <w:style w:type="character" w:customStyle="1" w:styleId="459">
    <w:name w:val="标题 5 Char"/>
    <w:qFormat/>
    <w:uiPriority w:val="9"/>
    <w:rPr>
      <w:rFonts w:eastAsia="宋体"/>
      <w:b/>
      <w:bCs/>
      <w:kern w:val="2"/>
      <w:sz w:val="28"/>
      <w:szCs w:val="28"/>
    </w:rPr>
  </w:style>
  <w:style w:type="character" w:customStyle="1" w:styleId="460">
    <w:name w:val="批注主题 Char"/>
    <w:qFormat/>
    <w:uiPriority w:val="99"/>
    <w:rPr>
      <w:rFonts w:eastAsia="宋体"/>
      <w:kern w:val="2"/>
      <w:sz w:val="21"/>
    </w:rPr>
  </w:style>
  <w:style w:type="character" w:customStyle="1" w:styleId="461">
    <w:name w:val="文档结构图 Char"/>
    <w:qFormat/>
    <w:uiPriority w:val="0"/>
    <w:rPr>
      <w:rFonts w:ascii="宋体" w:hAnsi="Calibri" w:eastAsia="宋体" w:cs="宋体"/>
      <w:kern w:val="2"/>
      <w:sz w:val="18"/>
      <w:szCs w:val="18"/>
    </w:rPr>
  </w:style>
  <w:style w:type="character" w:customStyle="1" w:styleId="462">
    <w:name w:val="标题 7 Char"/>
    <w:qFormat/>
    <w:uiPriority w:val="0"/>
    <w:rPr>
      <w:rFonts w:eastAsia="宋体"/>
      <w:b/>
      <w:bCs/>
      <w:sz w:val="24"/>
    </w:rPr>
  </w:style>
  <w:style w:type="character" w:customStyle="1" w:styleId="463">
    <w:name w:val="正文首行缩进 Char"/>
    <w:qFormat/>
    <w:uiPriority w:val="0"/>
    <w:rPr>
      <w:rFonts w:eastAsia="宋体"/>
      <w:kern w:val="2"/>
      <w:sz w:val="21"/>
      <w:szCs w:val="24"/>
      <w:lang w:val="en-US" w:eastAsia="zh-CN" w:bidi="ar-SA"/>
    </w:rPr>
  </w:style>
  <w:style w:type="character" w:customStyle="1" w:styleId="464">
    <w:name w:val="正文文本 3 Char"/>
    <w:qFormat/>
    <w:uiPriority w:val="0"/>
    <w:rPr>
      <w:rFonts w:ascii="宋体" w:hAnsi="Calibri" w:eastAsia="宋体"/>
      <w:kern w:val="2"/>
      <w:sz w:val="24"/>
    </w:rPr>
  </w:style>
  <w:style w:type="character" w:customStyle="1" w:styleId="465">
    <w:name w:val="标题 2 Char"/>
    <w:qFormat/>
    <w:uiPriority w:val="0"/>
    <w:rPr>
      <w:rFonts w:ascii="Arial" w:hAnsi="Arial" w:eastAsia="黑体"/>
      <w:b/>
      <w:kern w:val="2"/>
      <w:sz w:val="32"/>
    </w:rPr>
  </w:style>
  <w:style w:type="character" w:customStyle="1" w:styleId="466">
    <w:name w:val="正文文本缩进 3 Char"/>
    <w:qFormat/>
    <w:uiPriority w:val="0"/>
    <w:rPr>
      <w:rFonts w:ascii="Calibri" w:hAnsi="Calibri" w:eastAsia="宋体"/>
      <w:kern w:val="2"/>
      <w:sz w:val="16"/>
      <w:szCs w:val="16"/>
    </w:rPr>
  </w:style>
  <w:style w:type="character" w:customStyle="1" w:styleId="467">
    <w:name w:val="标题 6 Char"/>
    <w:qFormat/>
    <w:uiPriority w:val="0"/>
    <w:rPr>
      <w:rFonts w:ascii="Arial" w:hAnsi="Arial" w:eastAsia="黑体"/>
      <w:b/>
      <w:bCs/>
      <w:sz w:val="24"/>
    </w:rPr>
  </w:style>
  <w:style w:type="character" w:customStyle="1" w:styleId="468">
    <w:name w:val="Comment Text Char"/>
    <w:qFormat/>
    <w:uiPriority w:val="0"/>
  </w:style>
  <w:style w:type="character" w:customStyle="1" w:styleId="469">
    <w:name w:val="标题 4 Char"/>
    <w:qFormat/>
    <w:uiPriority w:val="0"/>
    <w:rPr>
      <w:rFonts w:ascii="Arial" w:hAnsi="Arial" w:eastAsia="黑体"/>
      <w:b/>
      <w:bCs/>
      <w:kern w:val="2"/>
      <w:sz w:val="28"/>
      <w:szCs w:val="28"/>
    </w:rPr>
  </w:style>
  <w:style w:type="character" w:customStyle="1" w:styleId="470">
    <w:name w:val="批注框文本 Char"/>
    <w:qFormat/>
    <w:uiPriority w:val="0"/>
    <w:rPr>
      <w:rFonts w:eastAsia="宋体"/>
      <w:kern w:val="2"/>
      <w:sz w:val="18"/>
    </w:rPr>
  </w:style>
  <w:style w:type="character" w:customStyle="1" w:styleId="471">
    <w:name w:val="正文文本 Char"/>
    <w:qFormat/>
    <w:uiPriority w:val="0"/>
    <w:rPr>
      <w:rFonts w:eastAsia="宋体"/>
      <w:kern w:val="2"/>
      <w:sz w:val="21"/>
      <w:szCs w:val="24"/>
      <w:lang w:val="en-US" w:eastAsia="zh-CN" w:bidi="ar-SA"/>
    </w:rPr>
  </w:style>
  <w:style w:type="character" w:customStyle="1" w:styleId="472">
    <w:name w:val="标题 Char"/>
    <w:qFormat/>
    <w:uiPriority w:val="0"/>
    <w:rPr>
      <w:rFonts w:ascii="Arial" w:hAnsi="Arial" w:eastAsia="宋体"/>
      <w:b/>
      <w:sz w:val="32"/>
    </w:rPr>
  </w:style>
  <w:style w:type="character" w:customStyle="1" w:styleId="473">
    <w:name w:val="脚注文本 Char"/>
    <w:qFormat/>
    <w:uiPriority w:val="0"/>
    <w:rPr>
      <w:kern w:val="2"/>
      <w:sz w:val="18"/>
      <w:szCs w:val="18"/>
    </w:rPr>
  </w:style>
  <w:style w:type="character" w:customStyle="1" w:styleId="474">
    <w:name w:val="尾注文本 字符"/>
    <w:basedOn w:val="69"/>
    <w:semiHidden/>
    <w:qFormat/>
    <w:uiPriority w:val="99"/>
    <w:rPr>
      <w:rFonts w:ascii="Times New Roman" w:hAnsi="Times New Roman" w:eastAsia="宋体" w:cs="Times New Roman"/>
      <w:kern w:val="2"/>
      <w:sz w:val="21"/>
      <w:szCs w:val="22"/>
    </w:rPr>
  </w:style>
  <w:style w:type="character" w:customStyle="1" w:styleId="475">
    <w:name w:val="正文文本缩进 2 Char"/>
    <w:qFormat/>
    <w:uiPriority w:val="0"/>
    <w:rPr>
      <w:rFonts w:ascii="Arial" w:hAnsi="Arial" w:eastAsia="仿宋_GB2312"/>
      <w:kern w:val="2"/>
      <w:sz w:val="32"/>
    </w:rPr>
  </w:style>
  <w:style w:type="character" w:customStyle="1" w:styleId="476">
    <w:name w:val="正文文本 2 Char"/>
    <w:qFormat/>
    <w:uiPriority w:val="0"/>
    <w:rPr>
      <w:rFonts w:ascii="仿宋_GB2312" w:eastAsia="仿宋_GB2312"/>
      <w:b/>
      <w:kern w:val="2"/>
      <w:sz w:val="24"/>
    </w:rPr>
  </w:style>
  <w:style w:type="character" w:customStyle="1" w:styleId="477">
    <w:name w:val="HTML 预设格式 Char1"/>
    <w:semiHidden/>
    <w:qFormat/>
    <w:uiPriority w:val="0"/>
    <w:rPr>
      <w:rFonts w:ascii="Courier New" w:hAnsi="Courier New" w:eastAsia="宋体" w:cs="Courier New"/>
      <w:kern w:val="2"/>
    </w:rPr>
  </w:style>
  <w:style w:type="character" w:customStyle="1" w:styleId="478">
    <w:name w:val="Blockquote Char_0_0"/>
    <w:link w:val="248"/>
    <w:qFormat/>
    <w:locked/>
    <w:uiPriority w:val="0"/>
    <w:rPr>
      <w:sz w:val="24"/>
    </w:rPr>
  </w:style>
  <w:style w:type="character" w:customStyle="1" w:styleId="479">
    <w:name w:val="Default Char Char"/>
    <w:link w:val="111"/>
    <w:qFormat/>
    <w:uiPriority w:val="0"/>
    <w:rPr>
      <w:rFonts w:ascii="黑体" w:hAnsi="Times New Roman" w:eastAsia="黑体" w:cs="黑体"/>
      <w:color w:val="000000"/>
      <w:sz w:val="24"/>
      <w:szCs w:val="24"/>
    </w:rPr>
  </w:style>
  <w:style w:type="character" w:customStyle="1" w:styleId="480">
    <w:name w:val="页码1"/>
    <w:qFormat/>
    <w:uiPriority w:val="0"/>
  </w:style>
  <w:style w:type="character" w:customStyle="1" w:styleId="481">
    <w:name w:val="批注引用1"/>
    <w:qFormat/>
    <w:uiPriority w:val="0"/>
    <w:rPr>
      <w:sz w:val="21"/>
      <w:szCs w:val="21"/>
    </w:rPr>
  </w:style>
  <w:style w:type="character" w:customStyle="1" w:styleId="482">
    <w:name w:val="普通(网站) 字符"/>
    <w:link w:val="61"/>
    <w:qFormat/>
    <w:locked/>
    <w:uiPriority w:val="0"/>
    <w:rPr>
      <w:rFonts w:ascii="宋体" w:hAnsi="宋体" w:eastAsia="宋体" w:cs="Times New Roman"/>
      <w:sz w:val="24"/>
      <w:szCs w:val="24"/>
    </w:rPr>
  </w:style>
  <w:style w:type="table" w:customStyle="1" w:styleId="483">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4">
    <w:name w:val="Table Normal"/>
    <w:unhideWhenUsed/>
    <w:qFormat/>
    <w:uiPriority w:val="2"/>
    <w:tblPr>
      <w:tblCellMar>
        <w:top w:w="0" w:type="dxa"/>
        <w:left w:w="0" w:type="dxa"/>
        <w:bottom w:w="0" w:type="dxa"/>
        <w:right w:w="0" w:type="dxa"/>
      </w:tblCellMar>
    </w:tblPr>
  </w:style>
  <w:style w:type="table" w:customStyle="1" w:styleId="485">
    <w:name w:val="网格型2"/>
    <w:basedOn w:val="6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6">
    <w:name w:val="网格型3"/>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7">
    <w:name w:val="网格型1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8">
    <w:name w:val="网格型2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9">
    <w:name w:val="网格型3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78</Pages>
  <Words>41104</Words>
  <Characters>42644</Characters>
  <Lines>348</Lines>
  <Paragraphs>98</Paragraphs>
  <TotalTime>3</TotalTime>
  <ScaleCrop>false</ScaleCrop>
  <LinksUpToDate>false</LinksUpToDate>
  <CharactersWithSpaces>45178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小毛</cp:lastModifiedBy>
  <cp:lastPrinted>2019-02-01T01:24:00Z</cp:lastPrinted>
  <dcterms:modified xsi:type="dcterms:W3CDTF">2022-12-20T01:12:21Z</dcterms:modified>
  <dc:title>工程类标准招标文件</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E7C536DEA8124B5A92E802A37578C28C</vt:lpwstr>
  </property>
</Properties>
</file>